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02737" w14:textId="77777777" w:rsidR="00F05FAB" w:rsidRDefault="0094279F" w:rsidP="00F05FAB">
      <w:pPr>
        <w:pStyle w:val="Heading1"/>
      </w:pPr>
      <w:r>
        <w:t>Implementation Statement</w:t>
      </w:r>
    </w:p>
    <w:p w14:paraId="70FD4B95" w14:textId="4DABEC1A" w:rsidR="00F05FAB" w:rsidRDefault="008F4F59" w:rsidP="00F05FAB">
      <w:pPr>
        <w:pStyle w:val="Heading1"/>
      </w:pPr>
      <w:r w:rsidRPr="008F4F59">
        <w:t>Royal Blind Group Pension Scheme</w:t>
      </w:r>
    </w:p>
    <w:p w14:paraId="3291F83E" w14:textId="549EC794" w:rsidR="00175B10" w:rsidRPr="00CE248E" w:rsidRDefault="00175B10" w:rsidP="00175B10">
      <w:pPr>
        <w:pStyle w:val="BodyText"/>
      </w:pPr>
      <w:r w:rsidRPr="00CE248E">
        <w:t xml:space="preserve">This Implementation Statement has been prepared by the </w:t>
      </w:r>
      <w:r>
        <w:t>Trustee of the Royal Blind Group Pension Scheme (“the Scheme”)</w:t>
      </w:r>
      <w:r w:rsidRPr="00CE248E">
        <w:t xml:space="preserve"> and sets out:</w:t>
      </w:r>
    </w:p>
    <w:p w14:paraId="24ED3D0A" w14:textId="77777777" w:rsidR="00175B10" w:rsidRPr="00705D17" w:rsidRDefault="00175B10" w:rsidP="00175B10">
      <w:pPr>
        <w:pStyle w:val="List"/>
        <w:ind w:left="360"/>
      </w:pPr>
      <w:r>
        <w:t>How the Trustee</w:t>
      </w:r>
      <w:r w:rsidRPr="00705D17">
        <w:t>’</w:t>
      </w:r>
      <w:r>
        <w:t>s</w:t>
      </w:r>
      <w:r w:rsidRPr="00705D17">
        <w:t xml:space="preserve"> policies on exercising rights (including voting rights) and engagement policies have been followed over the year.</w:t>
      </w:r>
    </w:p>
    <w:p w14:paraId="3DDF7B8A" w14:textId="2BDAFE57" w:rsidR="00175B10" w:rsidRDefault="00175B10" w:rsidP="00743761">
      <w:pPr>
        <w:pStyle w:val="List"/>
        <w:ind w:left="360"/>
      </w:pPr>
      <w:r w:rsidRPr="00705D17">
        <w:t xml:space="preserve">The </w:t>
      </w:r>
      <w:r>
        <w:t>voting behaviour of the Trustee</w:t>
      </w:r>
      <w:r w:rsidRPr="00705D17">
        <w:t xml:space="preserve">, or that undertaken on their behalf, over the year to </w:t>
      </w:r>
      <w:r>
        <w:t>31 March 2021</w:t>
      </w:r>
      <w:r w:rsidRPr="00705D17">
        <w:t>.</w:t>
      </w:r>
    </w:p>
    <w:p w14:paraId="404994D5" w14:textId="66EA1975" w:rsidR="00F05FAB" w:rsidRDefault="006520A2" w:rsidP="00F05FAB">
      <w:pPr>
        <w:pStyle w:val="Heading2"/>
      </w:pPr>
      <w:r>
        <w:t>How voting and engagement policies have been followed</w:t>
      </w:r>
    </w:p>
    <w:p w14:paraId="544D214C" w14:textId="3D985455" w:rsidR="006520A2" w:rsidRDefault="006520A2" w:rsidP="006520A2">
      <w:pPr>
        <w:pStyle w:val="BodyText"/>
      </w:pPr>
      <w:r w:rsidRPr="006520A2">
        <w:t xml:space="preserve">The Scheme invests entirely in pooled funds, and as such </w:t>
      </w:r>
      <w:proofErr w:type="gramStart"/>
      <w:r w:rsidRPr="006520A2">
        <w:t>delegates</w:t>
      </w:r>
      <w:proofErr w:type="gramEnd"/>
      <w:r w:rsidRPr="006520A2">
        <w:t xml:space="preserve"> responsibility for carrying out voting and engagement activities to the Scheme’s fund managers. </w:t>
      </w:r>
      <w:r w:rsidR="00175B10" w:rsidRPr="00030696">
        <w:t>The Trustee has taken into consideration the Financial Reportin</w:t>
      </w:r>
      <w:r w:rsidR="00175B10">
        <w:t>g Council’s UK Stewardship Code</w:t>
      </w:r>
      <w:r w:rsidR="00175B10" w:rsidRPr="00030696">
        <w:t>. However, the Trustee cannot usually directly influence the managers’ policies on the exercise of investment rights where the Trustee holds assets in pooled funds. This is due to the nature of these investments.</w:t>
      </w:r>
      <w:r w:rsidR="00175B10">
        <w:t xml:space="preserve">  The Trustee receives reporting on the voting and engagement policies of the fund </w:t>
      </w:r>
      <w:proofErr w:type="gramStart"/>
      <w:r w:rsidR="00175B10">
        <w:t>managers</w:t>
      </w:r>
      <w:proofErr w:type="gramEnd"/>
      <w:r w:rsidR="00175B10">
        <w:t xml:space="preserve"> and considers these as part of manager appointment and review processes.  </w:t>
      </w:r>
    </w:p>
    <w:p w14:paraId="17E809A3" w14:textId="7C54100F" w:rsidR="00175B10" w:rsidRDefault="00175B10" w:rsidP="006520A2">
      <w:pPr>
        <w:pStyle w:val="BodyText"/>
      </w:pPr>
      <w:r>
        <w:t>The Trustee believes that ESG factors are financially material – that is, they have the potential to impact the value of the investments from time to time.</w:t>
      </w:r>
    </w:p>
    <w:p w14:paraId="3FF8FD5F" w14:textId="0AE45172" w:rsidR="00175B10" w:rsidRPr="006520A2" w:rsidRDefault="00175B10" w:rsidP="006520A2">
      <w:pPr>
        <w:pStyle w:val="BodyText"/>
      </w:pPr>
      <w:r w:rsidRPr="00D129FF">
        <w:t xml:space="preserve">The </w:t>
      </w:r>
      <w:r w:rsidRPr="00534585">
        <w:t>Trustee</w:t>
      </w:r>
      <w:r w:rsidRPr="00D129FF">
        <w:t xml:space="preserve"> </w:t>
      </w:r>
      <w:r w:rsidRPr="00534585">
        <w:t>considers</w:t>
      </w:r>
      <w:r w:rsidRPr="00D129FF">
        <w:t xml:space="preserve"> it to be part of their investment managers’ roles to assess and monitor how the companies in which they are investing are managing developments in ESG related issues, and in particular climate risk, across the relevant parts of the capital structure for each of the companies in which the managers invest on behalf of the </w:t>
      </w:r>
      <w:r>
        <w:t>Scheme</w:t>
      </w:r>
      <w:r w:rsidRPr="00D129FF">
        <w:t>.</w:t>
      </w:r>
    </w:p>
    <w:p w14:paraId="2E033235" w14:textId="1B6CB75F" w:rsidR="006520A2" w:rsidRPr="00F37C6C" w:rsidRDefault="008F2430" w:rsidP="006520A2">
      <w:pPr>
        <w:pStyle w:val="BodyText"/>
      </w:pPr>
      <w:r w:rsidRPr="008F2430">
        <w:t xml:space="preserve">The </w:t>
      </w:r>
      <w:r w:rsidR="00175B10">
        <w:t>Trustee undertook</w:t>
      </w:r>
      <w:r w:rsidRPr="008F2430">
        <w:t xml:space="preserve"> an initial review of the </w:t>
      </w:r>
      <w:r w:rsidRPr="00F37C6C">
        <w:t>stewardship and engagement activities of the current asset managers</w:t>
      </w:r>
      <w:r w:rsidR="00175B10">
        <w:t xml:space="preserve"> in October 2020 to ensure alignment with the Scheme’s policies</w:t>
      </w:r>
      <w:r w:rsidRPr="00F37C6C">
        <w:t xml:space="preserve">. </w:t>
      </w:r>
      <w:r w:rsidR="00175B10">
        <w:t>The Trustee was</w:t>
      </w:r>
      <w:r w:rsidR="00175B10" w:rsidRPr="00F37C6C">
        <w:t xml:space="preserve"> </w:t>
      </w:r>
      <w:r w:rsidRPr="00F37C6C">
        <w:t>satisfied that the asset managers</w:t>
      </w:r>
      <w:r w:rsidR="00175B10">
        <w:t>’</w:t>
      </w:r>
      <w:r w:rsidRPr="00F37C6C">
        <w:t xml:space="preserve"> stated policies were reasonable,</w:t>
      </w:r>
      <w:r w:rsidR="00175B10">
        <w:t xml:space="preserve"> and</w:t>
      </w:r>
      <w:r w:rsidRPr="00F37C6C">
        <w:t xml:space="preserve"> </w:t>
      </w:r>
      <w:r w:rsidR="00175B10">
        <w:t>n</w:t>
      </w:r>
      <w:r w:rsidRPr="00F37C6C">
        <w:t xml:space="preserve">o </w:t>
      </w:r>
      <w:r w:rsidR="00175B10">
        <w:t xml:space="preserve">further </w:t>
      </w:r>
      <w:r w:rsidRPr="00F37C6C">
        <w:t>remedial action was required.</w:t>
      </w:r>
    </w:p>
    <w:p w14:paraId="45938F75" w14:textId="77777777" w:rsidR="006B3AA9" w:rsidRDefault="006B3AA9" w:rsidP="00743761">
      <w:pPr>
        <w:pStyle w:val="Heading3"/>
      </w:pPr>
      <w:r>
        <w:t>Data limitations</w:t>
      </w:r>
    </w:p>
    <w:p w14:paraId="73E6B98D" w14:textId="4BDFC24D" w:rsidR="00387550" w:rsidRDefault="006B3AA9" w:rsidP="00743761">
      <w:pPr>
        <w:pStyle w:val="BodyText"/>
      </w:pPr>
      <w:r w:rsidRPr="007F5AA4">
        <w:t xml:space="preserve">Where information is not included, it has been requested but has not been provided in a useable format or at all by the </w:t>
      </w:r>
      <w:r>
        <w:t xml:space="preserve">relevant </w:t>
      </w:r>
      <w:r w:rsidRPr="007F5AA4">
        <w:t xml:space="preserve">investment manager. </w:t>
      </w:r>
      <w:r>
        <w:t>The Trustee’s</w:t>
      </w:r>
      <w:r w:rsidRPr="007F5AA4">
        <w:t xml:space="preserve"> investment consultants are in discussion with the managers around how this data will be provided </w:t>
      </w:r>
      <w:r>
        <w:t>for</w:t>
      </w:r>
      <w:r w:rsidR="00387550">
        <w:t xml:space="preserve"> future statements.</w:t>
      </w:r>
    </w:p>
    <w:p w14:paraId="1C254A8A" w14:textId="063680C1" w:rsidR="009D0539" w:rsidRDefault="009D0539">
      <w:pPr>
        <w:pStyle w:val="Heading2"/>
      </w:pPr>
      <w:r>
        <w:t xml:space="preserve">Voting Data </w:t>
      </w:r>
    </w:p>
    <w:p w14:paraId="01565372" w14:textId="4F175B86" w:rsidR="00175B10" w:rsidRDefault="00436FC8" w:rsidP="00436FC8">
      <w:pPr>
        <w:pStyle w:val="BodyText"/>
      </w:pPr>
      <w:r w:rsidRPr="00705D17">
        <w:t>Voting only applies to funds that hold equities in their portfolio. The Scheme’s equity investments are all held through pooled funds</w:t>
      </w:r>
      <w:r w:rsidR="00175B10">
        <w:t xml:space="preserve"> and as such</w:t>
      </w:r>
      <w:r w:rsidRPr="00705D17">
        <w:t xml:space="preserve"> </w:t>
      </w:r>
      <w:r w:rsidR="00175B10">
        <w:t>t</w:t>
      </w:r>
      <w:r w:rsidRPr="00705D17">
        <w:t xml:space="preserve">he investment managers for these funds vote on behalf of the Trustee. </w:t>
      </w:r>
    </w:p>
    <w:p w14:paraId="1FFFDC92" w14:textId="29811EAF" w:rsidR="003A10EF" w:rsidRDefault="00175B10" w:rsidP="00743761">
      <w:pPr>
        <w:pStyle w:val="BodyText"/>
      </w:pPr>
      <w:r>
        <w:t>The Scheme’s equity investments are managed by Aberdeen Standard Investments (“ASI</w:t>
      </w:r>
      <w:r w:rsidR="003A10EF">
        <w:t>”</w:t>
      </w:r>
      <w:r>
        <w:t xml:space="preserve">) and Legal &amp; General Investment Management (“LGIM”). </w:t>
      </w:r>
      <w:r w:rsidR="00436FC8" w:rsidRPr="00705D17">
        <w:t>The table below provides a summary of the voting activity undertaken by each manager over the year to 3</w:t>
      </w:r>
      <w:r w:rsidR="00436FC8">
        <w:t>1 March 2021.</w:t>
      </w:r>
    </w:p>
    <w:tbl>
      <w:tblPr>
        <w:tblStyle w:val="bwTable"/>
        <w:tblW w:w="0" w:type="auto"/>
        <w:tblLook w:val="04A0" w:firstRow="1" w:lastRow="0" w:firstColumn="1" w:lastColumn="0" w:noHBand="0" w:noVBand="1"/>
      </w:tblPr>
      <w:tblGrid>
        <w:gridCol w:w="2835"/>
        <w:gridCol w:w="3402"/>
        <w:gridCol w:w="3402"/>
      </w:tblGrid>
      <w:tr w:rsidR="008F4F59" w:rsidRPr="007F4127" w14:paraId="71EE1F46" w14:textId="77777777" w:rsidTr="004E0ACA">
        <w:trPr>
          <w:cnfStyle w:val="100000000000" w:firstRow="1" w:lastRow="0" w:firstColumn="0" w:lastColumn="0" w:oddVBand="0" w:evenVBand="0" w:oddHBand="0" w:evenHBand="0" w:firstRowFirstColumn="0" w:firstRowLastColumn="0" w:lastRowFirstColumn="0" w:lastRowLastColumn="0"/>
          <w:tblHeader/>
        </w:trPr>
        <w:tc>
          <w:tcPr>
            <w:tcW w:w="2835" w:type="dxa"/>
          </w:tcPr>
          <w:p w14:paraId="5DA94555" w14:textId="784F9479" w:rsidR="008F4F59" w:rsidRPr="007F4127" w:rsidRDefault="008F4F59" w:rsidP="009D0539">
            <w:pPr>
              <w:pStyle w:val="BodyText"/>
              <w:spacing w:after="0"/>
              <w:jc w:val="left"/>
              <w:rPr>
                <w:b/>
                <w:sz w:val="16"/>
              </w:rPr>
            </w:pPr>
            <w:r w:rsidRPr="007F4127">
              <w:rPr>
                <w:b/>
                <w:sz w:val="16"/>
              </w:rPr>
              <w:lastRenderedPageBreak/>
              <w:t>Manager</w:t>
            </w:r>
          </w:p>
        </w:tc>
        <w:tc>
          <w:tcPr>
            <w:tcW w:w="3402" w:type="dxa"/>
          </w:tcPr>
          <w:p w14:paraId="41D5A65F" w14:textId="21C99473" w:rsidR="008F4F59" w:rsidRPr="007F4127" w:rsidRDefault="00436FC8" w:rsidP="005414B9">
            <w:pPr>
              <w:pStyle w:val="BodyText"/>
              <w:spacing w:after="0"/>
              <w:jc w:val="center"/>
              <w:rPr>
                <w:b/>
                <w:sz w:val="16"/>
              </w:rPr>
            </w:pPr>
            <w:r>
              <w:rPr>
                <w:b/>
                <w:sz w:val="16"/>
              </w:rPr>
              <w:t>ASI</w:t>
            </w:r>
          </w:p>
        </w:tc>
        <w:tc>
          <w:tcPr>
            <w:tcW w:w="3402" w:type="dxa"/>
          </w:tcPr>
          <w:p w14:paraId="3C5C51D8" w14:textId="1F1190E6" w:rsidR="008F4F59" w:rsidRPr="007F4127" w:rsidRDefault="008F4F59" w:rsidP="005414B9">
            <w:pPr>
              <w:pStyle w:val="BodyText"/>
              <w:spacing w:after="0"/>
              <w:jc w:val="center"/>
              <w:rPr>
                <w:b/>
                <w:sz w:val="16"/>
              </w:rPr>
            </w:pPr>
            <w:r>
              <w:rPr>
                <w:b/>
                <w:sz w:val="16"/>
              </w:rPr>
              <w:t>LGIM</w:t>
            </w:r>
          </w:p>
        </w:tc>
      </w:tr>
      <w:tr w:rsidR="008F4F59" w:rsidRPr="007F4127" w14:paraId="071C7B33" w14:textId="77777777" w:rsidTr="004E0ACA">
        <w:trPr>
          <w:cnfStyle w:val="000000100000" w:firstRow="0" w:lastRow="0" w:firstColumn="0" w:lastColumn="0" w:oddVBand="0" w:evenVBand="0" w:oddHBand="1" w:evenHBand="0" w:firstRowFirstColumn="0" w:firstRowLastColumn="0" w:lastRowFirstColumn="0" w:lastRowLastColumn="0"/>
        </w:trPr>
        <w:tc>
          <w:tcPr>
            <w:tcW w:w="2835" w:type="dxa"/>
          </w:tcPr>
          <w:p w14:paraId="5732A608" w14:textId="77777777" w:rsidR="008F4F59" w:rsidRPr="007F4127" w:rsidRDefault="008F4F59" w:rsidP="009D0539">
            <w:pPr>
              <w:pStyle w:val="BodyText"/>
              <w:spacing w:after="0"/>
              <w:jc w:val="left"/>
              <w:rPr>
                <w:b/>
                <w:sz w:val="16"/>
              </w:rPr>
            </w:pPr>
            <w:r w:rsidRPr="007F4127">
              <w:rPr>
                <w:b/>
                <w:sz w:val="16"/>
              </w:rPr>
              <w:t>Fund name</w:t>
            </w:r>
          </w:p>
        </w:tc>
        <w:tc>
          <w:tcPr>
            <w:tcW w:w="3402" w:type="dxa"/>
          </w:tcPr>
          <w:p w14:paraId="4D18666F" w14:textId="1359298E" w:rsidR="008F4F59" w:rsidRPr="007F4127" w:rsidRDefault="008F4F59" w:rsidP="005414B9">
            <w:pPr>
              <w:pStyle w:val="BodyText"/>
              <w:spacing w:after="0"/>
              <w:jc w:val="center"/>
              <w:rPr>
                <w:sz w:val="16"/>
              </w:rPr>
            </w:pPr>
            <w:r>
              <w:rPr>
                <w:sz w:val="16"/>
              </w:rPr>
              <w:t>Diversified Growth</w:t>
            </w:r>
          </w:p>
        </w:tc>
        <w:tc>
          <w:tcPr>
            <w:tcW w:w="3402" w:type="dxa"/>
          </w:tcPr>
          <w:p w14:paraId="3C1E8EE2" w14:textId="4D3B0C53" w:rsidR="008F4F59" w:rsidRPr="007F4127" w:rsidRDefault="008F4F59" w:rsidP="005414B9">
            <w:pPr>
              <w:pStyle w:val="BodyText"/>
              <w:spacing w:after="0"/>
              <w:jc w:val="center"/>
              <w:rPr>
                <w:sz w:val="16"/>
              </w:rPr>
            </w:pPr>
            <w:r>
              <w:rPr>
                <w:sz w:val="16"/>
              </w:rPr>
              <w:t>Passive Global Equity</w:t>
            </w:r>
          </w:p>
        </w:tc>
      </w:tr>
      <w:tr w:rsidR="004E0ACA" w:rsidRPr="007F4127" w14:paraId="67760D48" w14:textId="77777777" w:rsidTr="00493B5C">
        <w:trPr>
          <w:cnfStyle w:val="000000010000" w:firstRow="0" w:lastRow="0" w:firstColumn="0" w:lastColumn="0" w:oddVBand="0" w:evenVBand="0" w:oddHBand="0" w:evenHBand="1" w:firstRowFirstColumn="0" w:firstRowLastColumn="0" w:lastRowFirstColumn="0" w:lastRowLastColumn="0"/>
        </w:trPr>
        <w:tc>
          <w:tcPr>
            <w:tcW w:w="2835" w:type="dxa"/>
          </w:tcPr>
          <w:p w14:paraId="6AAF013B" w14:textId="77777777" w:rsidR="004E0ACA" w:rsidRPr="007F4127" w:rsidRDefault="004E0ACA" w:rsidP="009D0539">
            <w:pPr>
              <w:pStyle w:val="BodyText"/>
              <w:spacing w:after="0"/>
              <w:jc w:val="left"/>
              <w:rPr>
                <w:b/>
                <w:sz w:val="16"/>
              </w:rPr>
            </w:pPr>
            <w:r w:rsidRPr="007F4127">
              <w:rPr>
                <w:b/>
                <w:sz w:val="16"/>
              </w:rPr>
              <w:t>Structure</w:t>
            </w:r>
          </w:p>
        </w:tc>
        <w:tc>
          <w:tcPr>
            <w:tcW w:w="6804" w:type="dxa"/>
            <w:gridSpan w:val="2"/>
          </w:tcPr>
          <w:p w14:paraId="64FDF013" w14:textId="77777777" w:rsidR="004E0ACA" w:rsidRPr="007F4127" w:rsidRDefault="004E0ACA" w:rsidP="005414B9">
            <w:pPr>
              <w:pStyle w:val="BodyText"/>
              <w:spacing w:after="0"/>
              <w:jc w:val="center"/>
              <w:rPr>
                <w:sz w:val="16"/>
              </w:rPr>
            </w:pPr>
            <w:r w:rsidRPr="007F4127">
              <w:rPr>
                <w:sz w:val="16"/>
              </w:rPr>
              <w:t>Pooled</w:t>
            </w:r>
          </w:p>
        </w:tc>
      </w:tr>
      <w:tr w:rsidR="004E0ACA" w:rsidRPr="007F4127" w14:paraId="4415843F" w14:textId="77777777" w:rsidTr="00493B5C">
        <w:trPr>
          <w:cnfStyle w:val="000000100000" w:firstRow="0" w:lastRow="0" w:firstColumn="0" w:lastColumn="0" w:oddVBand="0" w:evenVBand="0" w:oddHBand="1" w:evenHBand="0" w:firstRowFirstColumn="0" w:firstRowLastColumn="0" w:lastRowFirstColumn="0" w:lastRowLastColumn="0"/>
        </w:trPr>
        <w:tc>
          <w:tcPr>
            <w:tcW w:w="2835" w:type="dxa"/>
          </w:tcPr>
          <w:p w14:paraId="36E87B31" w14:textId="77777777" w:rsidR="004E0ACA" w:rsidRPr="007F4127" w:rsidRDefault="004E0ACA" w:rsidP="009D0539">
            <w:pPr>
              <w:pStyle w:val="BodyText"/>
              <w:spacing w:after="0"/>
              <w:jc w:val="left"/>
              <w:rPr>
                <w:b/>
                <w:sz w:val="16"/>
              </w:rPr>
            </w:pPr>
            <w:r w:rsidRPr="007F4127">
              <w:rPr>
                <w:b/>
                <w:sz w:val="16"/>
              </w:rPr>
              <w:t xml:space="preserve">Ability to influence voting behaviour of manager </w:t>
            </w:r>
          </w:p>
        </w:tc>
        <w:tc>
          <w:tcPr>
            <w:tcW w:w="6804" w:type="dxa"/>
            <w:gridSpan w:val="2"/>
          </w:tcPr>
          <w:p w14:paraId="75078606" w14:textId="64D0BDE9" w:rsidR="004E0ACA" w:rsidRPr="007F4127" w:rsidRDefault="004E0ACA" w:rsidP="005414B9">
            <w:pPr>
              <w:pStyle w:val="BodyText"/>
              <w:spacing w:after="0"/>
              <w:jc w:val="center"/>
              <w:rPr>
                <w:sz w:val="16"/>
              </w:rPr>
            </w:pPr>
            <w:r w:rsidRPr="007F4127">
              <w:rPr>
                <w:sz w:val="16"/>
              </w:rPr>
              <w:t>The pooled fund structure means that there is limited scope for the Trustee to influence the manager’s voting behaviour.</w:t>
            </w:r>
          </w:p>
        </w:tc>
      </w:tr>
      <w:tr w:rsidR="008F4F59" w:rsidRPr="007F4127" w14:paraId="1098BB24" w14:textId="77777777" w:rsidTr="004E0ACA">
        <w:trPr>
          <w:cnfStyle w:val="000000010000" w:firstRow="0" w:lastRow="0" w:firstColumn="0" w:lastColumn="0" w:oddVBand="0" w:evenVBand="0" w:oddHBand="0" w:evenHBand="1" w:firstRowFirstColumn="0" w:firstRowLastColumn="0" w:lastRowFirstColumn="0" w:lastRowLastColumn="0"/>
        </w:trPr>
        <w:tc>
          <w:tcPr>
            <w:tcW w:w="2835" w:type="dxa"/>
          </w:tcPr>
          <w:p w14:paraId="138655BF" w14:textId="375765FB" w:rsidR="008F4F59" w:rsidRPr="007F4127" w:rsidDel="001D606F" w:rsidRDefault="008F4F59" w:rsidP="001919F9">
            <w:pPr>
              <w:pStyle w:val="BodyText"/>
              <w:spacing w:after="0"/>
              <w:jc w:val="left"/>
              <w:rPr>
                <w:b/>
                <w:sz w:val="16"/>
              </w:rPr>
            </w:pPr>
            <w:r>
              <w:rPr>
                <w:b/>
                <w:sz w:val="16"/>
              </w:rPr>
              <w:t>Number of</w:t>
            </w:r>
            <w:r w:rsidRPr="001D606F">
              <w:rPr>
                <w:b/>
                <w:sz w:val="16"/>
              </w:rPr>
              <w:t xml:space="preserve"> company meetings </w:t>
            </w:r>
            <w:r>
              <w:rPr>
                <w:b/>
                <w:sz w:val="16"/>
              </w:rPr>
              <w:t>the manager was</w:t>
            </w:r>
            <w:r w:rsidRPr="001D606F">
              <w:rPr>
                <w:b/>
                <w:sz w:val="16"/>
              </w:rPr>
              <w:t xml:space="preserve"> eligible to vote at </w:t>
            </w:r>
            <w:r>
              <w:rPr>
                <w:b/>
                <w:sz w:val="16"/>
              </w:rPr>
              <w:t>over the year</w:t>
            </w:r>
          </w:p>
        </w:tc>
        <w:tc>
          <w:tcPr>
            <w:tcW w:w="3402" w:type="dxa"/>
          </w:tcPr>
          <w:p w14:paraId="23944B64" w14:textId="75ECCB61" w:rsidR="008F4F59" w:rsidRPr="00B629DC" w:rsidDel="001D606F" w:rsidRDefault="008F4F59" w:rsidP="007706BD">
            <w:pPr>
              <w:pStyle w:val="BodyText"/>
              <w:spacing w:after="0"/>
              <w:jc w:val="center"/>
              <w:rPr>
                <w:sz w:val="16"/>
              </w:rPr>
            </w:pPr>
            <w:r w:rsidRPr="00B629DC">
              <w:rPr>
                <w:sz w:val="16"/>
              </w:rPr>
              <w:t>403</w:t>
            </w:r>
          </w:p>
        </w:tc>
        <w:tc>
          <w:tcPr>
            <w:tcW w:w="3402" w:type="dxa"/>
          </w:tcPr>
          <w:p w14:paraId="0B1D0E5A" w14:textId="6218D85F" w:rsidR="008F4F59" w:rsidRPr="00493B5C" w:rsidDel="001D606F" w:rsidRDefault="008F4F59" w:rsidP="007706BD">
            <w:pPr>
              <w:pStyle w:val="BodyText"/>
              <w:spacing w:after="0"/>
              <w:jc w:val="center"/>
              <w:rPr>
                <w:sz w:val="16"/>
              </w:rPr>
            </w:pPr>
            <w:r w:rsidRPr="00493B5C">
              <w:rPr>
                <w:sz w:val="16"/>
              </w:rPr>
              <w:t>6,779</w:t>
            </w:r>
          </w:p>
        </w:tc>
      </w:tr>
      <w:tr w:rsidR="008F4F59" w:rsidRPr="007F4127" w14:paraId="35222E6E" w14:textId="77777777" w:rsidTr="004E0ACA">
        <w:trPr>
          <w:cnfStyle w:val="000000100000" w:firstRow="0" w:lastRow="0" w:firstColumn="0" w:lastColumn="0" w:oddVBand="0" w:evenVBand="0" w:oddHBand="1" w:evenHBand="0" w:firstRowFirstColumn="0" w:firstRowLastColumn="0" w:lastRowFirstColumn="0" w:lastRowLastColumn="0"/>
        </w:trPr>
        <w:tc>
          <w:tcPr>
            <w:tcW w:w="2835" w:type="dxa"/>
          </w:tcPr>
          <w:p w14:paraId="67096052" w14:textId="67960806" w:rsidR="008F4F59" w:rsidRPr="007F4127" w:rsidDel="001D606F" w:rsidRDefault="008F4F59" w:rsidP="001919F9">
            <w:pPr>
              <w:pStyle w:val="BodyText"/>
              <w:spacing w:after="0"/>
              <w:jc w:val="left"/>
              <w:rPr>
                <w:b/>
                <w:sz w:val="16"/>
              </w:rPr>
            </w:pPr>
            <w:r>
              <w:rPr>
                <w:b/>
                <w:sz w:val="16"/>
              </w:rPr>
              <w:t>Number of</w:t>
            </w:r>
            <w:r w:rsidRPr="001D606F">
              <w:rPr>
                <w:b/>
                <w:sz w:val="16"/>
              </w:rPr>
              <w:t xml:space="preserve"> resolutions </w:t>
            </w:r>
            <w:r>
              <w:rPr>
                <w:b/>
                <w:sz w:val="16"/>
              </w:rPr>
              <w:t>the manager was</w:t>
            </w:r>
            <w:r w:rsidRPr="001D606F">
              <w:rPr>
                <w:b/>
                <w:sz w:val="16"/>
              </w:rPr>
              <w:t xml:space="preserve"> el</w:t>
            </w:r>
            <w:r>
              <w:rPr>
                <w:b/>
                <w:sz w:val="16"/>
              </w:rPr>
              <w:t>igible to vote on over the year</w:t>
            </w:r>
          </w:p>
        </w:tc>
        <w:tc>
          <w:tcPr>
            <w:tcW w:w="3402" w:type="dxa"/>
          </w:tcPr>
          <w:p w14:paraId="6DC11C80" w14:textId="5982F3DE" w:rsidR="008F4F59" w:rsidRPr="00B629DC" w:rsidDel="001D606F" w:rsidRDefault="00B629DC" w:rsidP="007706BD">
            <w:pPr>
              <w:pStyle w:val="BodyText"/>
              <w:spacing w:after="0"/>
              <w:jc w:val="center"/>
              <w:rPr>
                <w:sz w:val="16"/>
              </w:rPr>
            </w:pPr>
            <w:r w:rsidRPr="00743761">
              <w:rPr>
                <w:sz w:val="16"/>
              </w:rPr>
              <w:t>4,959</w:t>
            </w:r>
          </w:p>
        </w:tc>
        <w:tc>
          <w:tcPr>
            <w:tcW w:w="3402" w:type="dxa"/>
          </w:tcPr>
          <w:p w14:paraId="246F5E3A" w14:textId="414C0ED5" w:rsidR="008F4F59" w:rsidRPr="00493B5C" w:rsidDel="001D606F" w:rsidRDefault="008F4F59" w:rsidP="007706BD">
            <w:pPr>
              <w:pStyle w:val="BodyText"/>
              <w:spacing w:after="0"/>
              <w:jc w:val="center"/>
              <w:rPr>
                <w:sz w:val="16"/>
              </w:rPr>
            </w:pPr>
            <w:r w:rsidRPr="00493B5C">
              <w:rPr>
                <w:sz w:val="16"/>
              </w:rPr>
              <w:t>70,672</w:t>
            </w:r>
          </w:p>
        </w:tc>
      </w:tr>
      <w:tr w:rsidR="008F4F59" w:rsidRPr="007F4127" w14:paraId="3BE18C42" w14:textId="77777777" w:rsidTr="004E0ACA">
        <w:trPr>
          <w:cnfStyle w:val="000000010000" w:firstRow="0" w:lastRow="0" w:firstColumn="0" w:lastColumn="0" w:oddVBand="0" w:evenVBand="0" w:oddHBand="0" w:evenHBand="1" w:firstRowFirstColumn="0" w:firstRowLastColumn="0" w:lastRowFirstColumn="0" w:lastRowLastColumn="0"/>
        </w:trPr>
        <w:tc>
          <w:tcPr>
            <w:tcW w:w="2835" w:type="dxa"/>
          </w:tcPr>
          <w:p w14:paraId="1DA2B4F3" w14:textId="0FD272C1" w:rsidR="008F4F59" w:rsidRPr="007F4127" w:rsidRDefault="003A10EF" w:rsidP="001919F9">
            <w:pPr>
              <w:pStyle w:val="BodyText"/>
              <w:spacing w:after="0"/>
              <w:jc w:val="left"/>
              <w:rPr>
                <w:b/>
                <w:sz w:val="16"/>
              </w:rPr>
            </w:pPr>
            <w:r>
              <w:rPr>
                <w:b/>
                <w:sz w:val="16"/>
              </w:rPr>
              <w:t xml:space="preserve">% </w:t>
            </w:r>
            <w:r w:rsidR="008F4F59">
              <w:rPr>
                <w:b/>
                <w:sz w:val="16"/>
              </w:rPr>
              <w:t xml:space="preserve">of resolutions the manager voted on </w:t>
            </w:r>
          </w:p>
        </w:tc>
        <w:tc>
          <w:tcPr>
            <w:tcW w:w="3402" w:type="dxa"/>
          </w:tcPr>
          <w:p w14:paraId="06049C5B" w14:textId="7EE5BBAA" w:rsidR="008F4F59" w:rsidRPr="00B629DC" w:rsidRDefault="008F4F59" w:rsidP="007706BD">
            <w:pPr>
              <w:pStyle w:val="BodyText"/>
              <w:spacing w:after="0"/>
              <w:jc w:val="center"/>
              <w:rPr>
                <w:sz w:val="16"/>
              </w:rPr>
            </w:pPr>
            <w:r w:rsidRPr="00B629DC">
              <w:rPr>
                <w:sz w:val="16"/>
              </w:rPr>
              <w:t>9</w:t>
            </w:r>
            <w:r w:rsidR="00B629DC" w:rsidRPr="00743761">
              <w:rPr>
                <w:sz w:val="16"/>
              </w:rPr>
              <w:t>8.2</w:t>
            </w:r>
            <w:r w:rsidRPr="00B629DC">
              <w:rPr>
                <w:sz w:val="16"/>
              </w:rPr>
              <w:t>%</w:t>
            </w:r>
          </w:p>
        </w:tc>
        <w:tc>
          <w:tcPr>
            <w:tcW w:w="3402" w:type="dxa"/>
          </w:tcPr>
          <w:p w14:paraId="79EF0CDF" w14:textId="4E5D52EE" w:rsidR="008F4F59" w:rsidRPr="00493B5C" w:rsidRDefault="008F4F59" w:rsidP="007706BD">
            <w:pPr>
              <w:pStyle w:val="BodyText"/>
              <w:spacing w:after="0"/>
              <w:jc w:val="center"/>
              <w:rPr>
                <w:sz w:val="16"/>
              </w:rPr>
            </w:pPr>
            <w:r w:rsidRPr="00493B5C">
              <w:rPr>
                <w:sz w:val="16"/>
              </w:rPr>
              <w:t>99.</w:t>
            </w:r>
            <w:r w:rsidR="00B629DC" w:rsidRPr="00743761">
              <w:rPr>
                <w:sz w:val="16"/>
              </w:rPr>
              <w:t>9</w:t>
            </w:r>
            <w:r w:rsidRPr="00493B5C">
              <w:rPr>
                <w:sz w:val="16"/>
              </w:rPr>
              <w:t>%</w:t>
            </w:r>
          </w:p>
        </w:tc>
      </w:tr>
      <w:tr w:rsidR="008F4F59" w:rsidRPr="007F4127" w14:paraId="7973232C" w14:textId="77777777" w:rsidTr="004E0ACA">
        <w:trPr>
          <w:cnfStyle w:val="000000100000" w:firstRow="0" w:lastRow="0" w:firstColumn="0" w:lastColumn="0" w:oddVBand="0" w:evenVBand="0" w:oddHBand="1" w:evenHBand="0" w:firstRowFirstColumn="0" w:firstRowLastColumn="0" w:lastRowFirstColumn="0" w:lastRowLastColumn="0"/>
        </w:trPr>
        <w:tc>
          <w:tcPr>
            <w:tcW w:w="2835" w:type="dxa"/>
          </w:tcPr>
          <w:p w14:paraId="56CE9877" w14:textId="2564428A" w:rsidR="008F4F59" w:rsidRPr="007F4127" w:rsidRDefault="003A10EF" w:rsidP="001919F9">
            <w:pPr>
              <w:pStyle w:val="BodyText"/>
              <w:spacing w:after="0"/>
              <w:jc w:val="left"/>
              <w:rPr>
                <w:b/>
                <w:sz w:val="16"/>
              </w:rPr>
            </w:pPr>
            <w:r>
              <w:rPr>
                <w:b/>
                <w:sz w:val="16"/>
              </w:rPr>
              <w:t xml:space="preserve">% </w:t>
            </w:r>
            <w:r w:rsidR="008F4F59">
              <w:rPr>
                <w:b/>
                <w:sz w:val="16"/>
              </w:rPr>
              <w:t>of resolutions the manager abstained from</w:t>
            </w:r>
            <w:r w:rsidR="00437751">
              <w:rPr>
                <w:b/>
                <w:sz w:val="16"/>
              </w:rPr>
              <w:t xml:space="preserve"> (as % of resolutions voted on)</w:t>
            </w:r>
          </w:p>
        </w:tc>
        <w:tc>
          <w:tcPr>
            <w:tcW w:w="3402" w:type="dxa"/>
          </w:tcPr>
          <w:p w14:paraId="4EBBFAED" w14:textId="4C58D80A" w:rsidR="008F4F59" w:rsidRPr="00B629DC" w:rsidRDefault="008F4F59" w:rsidP="007706BD">
            <w:pPr>
              <w:pStyle w:val="BodyText"/>
              <w:spacing w:after="0"/>
              <w:jc w:val="center"/>
              <w:rPr>
                <w:sz w:val="16"/>
              </w:rPr>
            </w:pPr>
            <w:r w:rsidRPr="00B629DC">
              <w:rPr>
                <w:sz w:val="16"/>
              </w:rPr>
              <w:t>1.7%</w:t>
            </w:r>
          </w:p>
        </w:tc>
        <w:tc>
          <w:tcPr>
            <w:tcW w:w="3402" w:type="dxa"/>
          </w:tcPr>
          <w:p w14:paraId="1C962CF1" w14:textId="0764C6B0" w:rsidR="008F4F59" w:rsidRPr="00493B5C" w:rsidRDefault="008F4F59" w:rsidP="007706BD">
            <w:pPr>
              <w:pStyle w:val="BodyText"/>
              <w:spacing w:after="0"/>
              <w:jc w:val="center"/>
              <w:rPr>
                <w:sz w:val="16"/>
              </w:rPr>
            </w:pPr>
            <w:r w:rsidRPr="00493B5C">
              <w:rPr>
                <w:sz w:val="16"/>
              </w:rPr>
              <w:t>0.</w:t>
            </w:r>
            <w:r w:rsidR="00493B5C" w:rsidRPr="00743761">
              <w:rPr>
                <w:sz w:val="16"/>
              </w:rPr>
              <w:t>8</w:t>
            </w:r>
            <w:r w:rsidRPr="00493B5C">
              <w:rPr>
                <w:sz w:val="16"/>
              </w:rPr>
              <w:t>%</w:t>
            </w:r>
          </w:p>
        </w:tc>
      </w:tr>
      <w:tr w:rsidR="008F4F59" w:rsidRPr="007F4127" w14:paraId="2CECF97A" w14:textId="77777777" w:rsidTr="004E0ACA">
        <w:trPr>
          <w:cnfStyle w:val="000000010000" w:firstRow="0" w:lastRow="0" w:firstColumn="0" w:lastColumn="0" w:oddVBand="0" w:evenVBand="0" w:oddHBand="0" w:evenHBand="1" w:firstRowFirstColumn="0" w:firstRowLastColumn="0" w:lastRowFirstColumn="0" w:lastRowLastColumn="0"/>
          <w:trHeight w:val="680"/>
        </w:trPr>
        <w:tc>
          <w:tcPr>
            <w:tcW w:w="2835" w:type="dxa"/>
          </w:tcPr>
          <w:p w14:paraId="05285BC4" w14:textId="743FD82B" w:rsidR="008F4F59" w:rsidDel="001D606F" w:rsidRDefault="003A10EF">
            <w:pPr>
              <w:pStyle w:val="BodyText"/>
              <w:spacing w:after="0"/>
              <w:jc w:val="left"/>
              <w:rPr>
                <w:b/>
                <w:sz w:val="16"/>
              </w:rPr>
            </w:pPr>
            <w:r>
              <w:rPr>
                <w:b/>
                <w:sz w:val="16"/>
              </w:rPr>
              <w:t xml:space="preserve">% </w:t>
            </w:r>
            <w:r w:rsidR="008F4F59">
              <w:rPr>
                <w:b/>
                <w:sz w:val="16"/>
              </w:rPr>
              <w:t xml:space="preserve">of resolutions voted </w:t>
            </w:r>
            <w:r w:rsidR="008F4F59" w:rsidRPr="001919F9">
              <w:rPr>
                <w:b/>
                <w:i/>
                <w:sz w:val="16"/>
              </w:rPr>
              <w:t>with</w:t>
            </w:r>
            <w:r w:rsidR="008F4F59">
              <w:rPr>
                <w:b/>
                <w:sz w:val="16"/>
              </w:rPr>
              <w:t xml:space="preserve"> management</w:t>
            </w:r>
            <w:r w:rsidR="00437751">
              <w:rPr>
                <w:b/>
                <w:sz w:val="16"/>
              </w:rPr>
              <w:t xml:space="preserve"> (as % of resolutions voted on)</w:t>
            </w:r>
          </w:p>
        </w:tc>
        <w:tc>
          <w:tcPr>
            <w:tcW w:w="3402" w:type="dxa"/>
          </w:tcPr>
          <w:p w14:paraId="78552DD0" w14:textId="6DC15E59" w:rsidR="008F4F59" w:rsidRPr="00B629DC" w:rsidDel="001D606F" w:rsidRDefault="008F4F59" w:rsidP="007706BD">
            <w:pPr>
              <w:pStyle w:val="BodyText"/>
              <w:spacing w:after="0"/>
              <w:jc w:val="center"/>
              <w:rPr>
                <w:sz w:val="16"/>
              </w:rPr>
            </w:pPr>
            <w:r w:rsidRPr="00B629DC">
              <w:rPr>
                <w:sz w:val="16"/>
              </w:rPr>
              <w:t>8</w:t>
            </w:r>
            <w:r w:rsidR="00437751">
              <w:rPr>
                <w:sz w:val="16"/>
              </w:rPr>
              <w:t>5.6</w:t>
            </w:r>
            <w:r w:rsidRPr="00B629DC">
              <w:rPr>
                <w:sz w:val="16"/>
              </w:rPr>
              <w:t>%</w:t>
            </w:r>
          </w:p>
        </w:tc>
        <w:tc>
          <w:tcPr>
            <w:tcW w:w="3402" w:type="dxa"/>
          </w:tcPr>
          <w:p w14:paraId="76CB8CEE" w14:textId="4311DC59" w:rsidR="008F4F59" w:rsidRPr="00493B5C" w:rsidDel="001D606F" w:rsidRDefault="008F4F59" w:rsidP="007706BD">
            <w:pPr>
              <w:pStyle w:val="BodyText"/>
              <w:spacing w:after="0"/>
              <w:jc w:val="center"/>
              <w:rPr>
                <w:sz w:val="16"/>
              </w:rPr>
            </w:pPr>
            <w:r w:rsidRPr="00493B5C">
              <w:rPr>
                <w:sz w:val="16"/>
              </w:rPr>
              <w:t>83.</w:t>
            </w:r>
            <w:r w:rsidR="00493B5C" w:rsidRPr="00743761">
              <w:rPr>
                <w:sz w:val="16"/>
              </w:rPr>
              <w:t>3</w:t>
            </w:r>
            <w:r w:rsidRPr="00493B5C">
              <w:rPr>
                <w:sz w:val="16"/>
              </w:rPr>
              <w:t>%</w:t>
            </w:r>
          </w:p>
        </w:tc>
      </w:tr>
      <w:tr w:rsidR="008F4F59" w:rsidRPr="007F4127" w14:paraId="773B6797" w14:textId="77777777" w:rsidTr="004E0ACA">
        <w:trPr>
          <w:cnfStyle w:val="000000100000" w:firstRow="0" w:lastRow="0" w:firstColumn="0" w:lastColumn="0" w:oddVBand="0" w:evenVBand="0" w:oddHBand="1" w:evenHBand="0" w:firstRowFirstColumn="0" w:firstRowLastColumn="0" w:lastRowFirstColumn="0" w:lastRowLastColumn="0"/>
        </w:trPr>
        <w:tc>
          <w:tcPr>
            <w:tcW w:w="2835" w:type="dxa"/>
          </w:tcPr>
          <w:p w14:paraId="551B1F20" w14:textId="777F8C7B" w:rsidR="008F4F59" w:rsidRPr="007F4127" w:rsidRDefault="003A10EF">
            <w:pPr>
              <w:pStyle w:val="BodyText"/>
              <w:spacing w:after="0"/>
              <w:jc w:val="left"/>
              <w:rPr>
                <w:b/>
                <w:sz w:val="16"/>
              </w:rPr>
            </w:pPr>
            <w:r>
              <w:rPr>
                <w:b/>
                <w:sz w:val="16"/>
              </w:rPr>
              <w:t xml:space="preserve">% </w:t>
            </w:r>
            <w:r w:rsidR="008F4F59">
              <w:rPr>
                <w:b/>
                <w:sz w:val="16"/>
              </w:rPr>
              <w:t xml:space="preserve">of resolutions voted </w:t>
            </w:r>
            <w:r w:rsidR="008F4F59" w:rsidRPr="001919F9">
              <w:rPr>
                <w:b/>
                <w:i/>
                <w:sz w:val="16"/>
              </w:rPr>
              <w:t>against</w:t>
            </w:r>
            <w:r w:rsidR="008F4F59">
              <w:rPr>
                <w:b/>
                <w:sz w:val="16"/>
              </w:rPr>
              <w:t xml:space="preserve"> management</w:t>
            </w:r>
            <w:r w:rsidR="00437751">
              <w:rPr>
                <w:b/>
                <w:sz w:val="16"/>
              </w:rPr>
              <w:t xml:space="preserve"> (as % of resolutions voted on)</w:t>
            </w:r>
          </w:p>
        </w:tc>
        <w:tc>
          <w:tcPr>
            <w:tcW w:w="3402" w:type="dxa"/>
          </w:tcPr>
          <w:p w14:paraId="0C85FAAD" w14:textId="2E4D76B1" w:rsidR="008F4F59" w:rsidRPr="00B629DC" w:rsidRDefault="008F4F59" w:rsidP="007706BD">
            <w:pPr>
              <w:pStyle w:val="BodyText"/>
              <w:spacing w:after="0"/>
              <w:jc w:val="center"/>
              <w:rPr>
                <w:sz w:val="16"/>
              </w:rPr>
            </w:pPr>
            <w:r w:rsidRPr="00B629DC">
              <w:rPr>
                <w:sz w:val="16"/>
              </w:rPr>
              <w:t>12.</w:t>
            </w:r>
            <w:r w:rsidR="00437751">
              <w:rPr>
                <w:sz w:val="16"/>
              </w:rPr>
              <w:t>7</w:t>
            </w:r>
            <w:r w:rsidRPr="00B629DC">
              <w:rPr>
                <w:sz w:val="16"/>
              </w:rPr>
              <w:t>%</w:t>
            </w:r>
          </w:p>
        </w:tc>
        <w:tc>
          <w:tcPr>
            <w:tcW w:w="3402" w:type="dxa"/>
          </w:tcPr>
          <w:p w14:paraId="0AEE6F7B" w14:textId="07087061" w:rsidR="008F4F59" w:rsidRPr="00493B5C" w:rsidRDefault="008F4F59" w:rsidP="007706BD">
            <w:pPr>
              <w:pStyle w:val="BodyText"/>
              <w:spacing w:after="0"/>
              <w:jc w:val="center"/>
              <w:rPr>
                <w:sz w:val="16"/>
              </w:rPr>
            </w:pPr>
            <w:r w:rsidRPr="00493B5C">
              <w:rPr>
                <w:sz w:val="16"/>
              </w:rPr>
              <w:t>15.9%</w:t>
            </w:r>
          </w:p>
        </w:tc>
      </w:tr>
      <w:tr w:rsidR="008F4F59" w:rsidRPr="007F4127" w14:paraId="5D35F2F1" w14:textId="77777777" w:rsidTr="004E0ACA">
        <w:trPr>
          <w:cnfStyle w:val="000000010000" w:firstRow="0" w:lastRow="0" w:firstColumn="0" w:lastColumn="0" w:oddVBand="0" w:evenVBand="0" w:oddHBand="0" w:evenHBand="1" w:firstRowFirstColumn="0" w:firstRowLastColumn="0" w:lastRowFirstColumn="0" w:lastRowLastColumn="0"/>
        </w:trPr>
        <w:tc>
          <w:tcPr>
            <w:tcW w:w="2835" w:type="dxa"/>
          </w:tcPr>
          <w:p w14:paraId="3D01F150" w14:textId="69CBDF86" w:rsidR="008F4F59" w:rsidRPr="007F4127" w:rsidRDefault="003A10EF" w:rsidP="001919F9">
            <w:pPr>
              <w:pStyle w:val="BodyText"/>
              <w:spacing w:after="0"/>
              <w:jc w:val="left"/>
              <w:rPr>
                <w:b/>
                <w:sz w:val="16"/>
              </w:rPr>
            </w:pPr>
            <w:r>
              <w:rPr>
                <w:b/>
                <w:sz w:val="16"/>
              </w:rPr>
              <w:t xml:space="preserve">% </w:t>
            </w:r>
            <w:r w:rsidR="008F4F59">
              <w:rPr>
                <w:b/>
                <w:sz w:val="16"/>
              </w:rPr>
              <w:t>of resolutions voted  contrary to the recommendation of the proxy advisor</w:t>
            </w:r>
          </w:p>
        </w:tc>
        <w:tc>
          <w:tcPr>
            <w:tcW w:w="3402" w:type="dxa"/>
          </w:tcPr>
          <w:p w14:paraId="0E93525F" w14:textId="4010972F" w:rsidR="008F4F59" w:rsidRPr="00B629DC" w:rsidRDefault="008F4F59" w:rsidP="00BD7CCD">
            <w:pPr>
              <w:pStyle w:val="BodyText"/>
              <w:spacing w:after="0"/>
              <w:jc w:val="center"/>
              <w:rPr>
                <w:sz w:val="16"/>
              </w:rPr>
            </w:pPr>
            <w:r w:rsidRPr="00B629DC">
              <w:rPr>
                <w:sz w:val="16"/>
              </w:rPr>
              <w:t xml:space="preserve">Not </w:t>
            </w:r>
            <w:r w:rsidR="00BD7CCD" w:rsidRPr="00B629DC">
              <w:rPr>
                <w:sz w:val="16"/>
              </w:rPr>
              <w:t>provided</w:t>
            </w:r>
          </w:p>
        </w:tc>
        <w:tc>
          <w:tcPr>
            <w:tcW w:w="3402" w:type="dxa"/>
          </w:tcPr>
          <w:p w14:paraId="44CBC4DA" w14:textId="4D4B10EA" w:rsidR="008F4F59" w:rsidRPr="00493B5C" w:rsidRDefault="008F4F59" w:rsidP="007706BD">
            <w:pPr>
              <w:pStyle w:val="BodyText"/>
              <w:spacing w:after="0"/>
              <w:jc w:val="center"/>
              <w:rPr>
                <w:sz w:val="16"/>
              </w:rPr>
            </w:pPr>
            <w:r w:rsidRPr="00493B5C">
              <w:rPr>
                <w:sz w:val="16"/>
              </w:rPr>
              <w:t>5.</w:t>
            </w:r>
            <w:r w:rsidR="00493B5C" w:rsidRPr="00743761">
              <w:rPr>
                <w:sz w:val="16"/>
              </w:rPr>
              <w:t>6</w:t>
            </w:r>
            <w:r w:rsidRPr="00493B5C">
              <w:rPr>
                <w:sz w:val="16"/>
              </w:rPr>
              <w:t>%</w:t>
            </w:r>
          </w:p>
        </w:tc>
      </w:tr>
    </w:tbl>
    <w:p w14:paraId="6F465A8E" w14:textId="035BF87F" w:rsidR="00754D05" w:rsidRPr="004E0ACA" w:rsidRDefault="00754D05" w:rsidP="00754D05">
      <w:pPr>
        <w:pStyle w:val="BodyText"/>
        <w:rPr>
          <w:sz w:val="16"/>
        </w:rPr>
      </w:pPr>
      <w:r w:rsidRPr="004E0ACA">
        <w:rPr>
          <w:sz w:val="16"/>
        </w:rPr>
        <w:t>Some voting percentages quoted above may not sum to 100%.  Managers assure us that this is due to classifications of votes and abstentions both internally and across different jurisdictions.</w:t>
      </w:r>
    </w:p>
    <w:p w14:paraId="790CF1FE" w14:textId="17DA2029" w:rsidR="00754D05" w:rsidRDefault="00754D05" w:rsidP="00754D05">
      <w:pPr>
        <w:pStyle w:val="BodyText"/>
      </w:pPr>
      <w:r w:rsidRPr="008A24AA">
        <w:t xml:space="preserve">LGIM’s Investment Stewardship team uses </w:t>
      </w:r>
      <w:r w:rsidR="00493B5C">
        <w:t>the Institutional Shareholder Services (“ISS”)</w:t>
      </w:r>
      <w:r w:rsidR="00493B5C" w:rsidRPr="008A24AA">
        <w:t xml:space="preserve"> </w:t>
      </w:r>
      <w:r w:rsidR="00493B5C">
        <w:t>“</w:t>
      </w:r>
      <w:proofErr w:type="spellStart"/>
      <w:r w:rsidRPr="008A24AA">
        <w:t>ProxyExchange</w:t>
      </w:r>
      <w:proofErr w:type="spellEnd"/>
      <w:r w:rsidR="00493B5C">
        <w:t>”</w:t>
      </w:r>
      <w:r w:rsidRPr="008A24AA">
        <w:t xml:space="preserve"> electronic voting platform to electronically vote </w:t>
      </w:r>
      <w:r w:rsidR="003A10EF">
        <w:t xml:space="preserve">on </w:t>
      </w:r>
      <w:r w:rsidRPr="008A24AA">
        <w:t xml:space="preserve">clients’ shares. All voting decisions are made by LGIM and </w:t>
      </w:r>
      <w:r>
        <w:t>they</w:t>
      </w:r>
      <w:r w:rsidRPr="008A24AA">
        <w:t xml:space="preserve"> do not outsource any part of the strategic decisions. To ensure </w:t>
      </w:r>
      <w:r w:rsidR="00F37C6C">
        <w:t>their</w:t>
      </w:r>
      <w:r w:rsidRPr="008A24AA">
        <w:t xml:space="preserve"> proxy provider votes in accordance with </w:t>
      </w:r>
      <w:r w:rsidR="00F37C6C">
        <w:t>their</w:t>
      </w:r>
      <w:r w:rsidRPr="008A24AA">
        <w:t xml:space="preserve"> position on ESG, </w:t>
      </w:r>
      <w:r>
        <w:t>they</w:t>
      </w:r>
      <w:r w:rsidRPr="008A24AA">
        <w:t xml:space="preserve"> have put in place a custom voting policy with specific voting instructions.</w:t>
      </w:r>
      <w:r>
        <w:t xml:space="preserve"> </w:t>
      </w:r>
    </w:p>
    <w:p w14:paraId="68A0D0E9" w14:textId="05702EF5" w:rsidR="00357995" w:rsidRDefault="004E0ACA" w:rsidP="00BD7CCD">
      <w:pPr>
        <w:pStyle w:val="BodyText"/>
      </w:pPr>
      <w:r>
        <w:t xml:space="preserve">ASI </w:t>
      </w:r>
      <w:r w:rsidR="00493B5C">
        <w:t xml:space="preserve">also </w:t>
      </w:r>
      <w:r w:rsidR="00BD7CCD">
        <w:t>use ISS for their proxy voting requirements, and have listed company stewardship guidelines to provide a framework for engagement and proxy voting for companies worldwide.</w:t>
      </w:r>
    </w:p>
    <w:p w14:paraId="4CC09E2A" w14:textId="0FD0253E" w:rsidR="00436FC8" w:rsidRDefault="00436FC8">
      <w:pPr>
        <w:pStyle w:val="Heading3"/>
      </w:pPr>
      <w:r>
        <w:t>Significant votes</w:t>
      </w:r>
    </w:p>
    <w:p w14:paraId="6418629A" w14:textId="13CCEB99" w:rsidR="00BD7CCD" w:rsidRDefault="00FB4872" w:rsidP="00754D05">
      <w:pPr>
        <w:pStyle w:val="BodyText"/>
      </w:pPr>
      <w:r>
        <w:t>The Trustee has</w:t>
      </w:r>
      <w:r w:rsidR="00436FC8" w:rsidRPr="00AA3BFB">
        <w:t xml:space="preserve"> delega</w:t>
      </w:r>
      <w:r w:rsidR="003E081C">
        <w:t>ted to the investment managers</w:t>
      </w:r>
      <w:r w:rsidR="00436FC8" w:rsidRPr="00AA3BFB">
        <w:t xml:space="preserve"> to define what a “significant vote” is. </w:t>
      </w:r>
      <w:r w:rsidR="004E0ACA">
        <w:t xml:space="preserve">ASI have not provided a </w:t>
      </w:r>
      <w:r w:rsidR="002E2A25">
        <w:t>shortlist</w:t>
      </w:r>
      <w:r w:rsidR="004E0ACA">
        <w:t xml:space="preserve"> of </w:t>
      </w:r>
      <w:r w:rsidR="002E2A25">
        <w:t>the</w:t>
      </w:r>
      <w:r w:rsidR="004E0ACA">
        <w:t xml:space="preserve"> votes they consider </w:t>
      </w:r>
      <w:r w:rsidR="00BD7CCD">
        <w:t>significant</w:t>
      </w:r>
      <w:r w:rsidR="004E0ACA">
        <w:t>.</w:t>
      </w:r>
    </w:p>
    <w:p w14:paraId="771529D9" w14:textId="4F87D614" w:rsidR="004E0ACA" w:rsidRDefault="00436FC8" w:rsidP="00754D05">
      <w:pPr>
        <w:pStyle w:val="BodyText"/>
      </w:pPr>
      <w:r w:rsidRPr="00AA3BFB">
        <w:t xml:space="preserve">A summary of the data </w:t>
      </w:r>
      <w:r w:rsidR="004E0ACA">
        <w:t>LGIM have</w:t>
      </w:r>
      <w:r w:rsidRPr="00AA3BFB">
        <w:t xml:space="preserve"> provided is set out</w:t>
      </w:r>
      <w:r w:rsidR="00754D05">
        <w:t xml:space="preserve"> </w:t>
      </w:r>
      <w:r w:rsidRPr="00AA3BFB">
        <w:t>in the</w:t>
      </w:r>
      <w:r w:rsidR="004E0ACA">
        <w:t xml:space="preserve"> </w:t>
      </w:r>
      <w:r w:rsidR="00FB4872">
        <w:t xml:space="preserve">table </w:t>
      </w:r>
      <w:r w:rsidR="004E0ACA">
        <w:t>below</w:t>
      </w:r>
      <w:r>
        <w:t xml:space="preserve">. </w:t>
      </w:r>
      <w:r w:rsidR="004E0ACA" w:rsidRPr="004E0ACA">
        <w:t>We have chosen three examples</w:t>
      </w:r>
      <w:r w:rsidR="004E0ACA">
        <w:t xml:space="preserve"> </w:t>
      </w:r>
      <w:r w:rsidR="004E0ACA" w:rsidRPr="004E0ACA">
        <w:t xml:space="preserve">to </w:t>
      </w:r>
      <w:r w:rsidR="00FB4872">
        <w:t>highlight</w:t>
      </w:r>
      <w:r w:rsidR="00FB4872" w:rsidRPr="004E0ACA">
        <w:t xml:space="preserve"> </w:t>
      </w:r>
      <w:r w:rsidR="004E0ACA" w:rsidRPr="004E0ACA">
        <w:t>a breadth of issues the manager voted on throughout the year.</w:t>
      </w:r>
      <w:bookmarkStart w:id="0" w:name="_GoBack"/>
      <w:bookmarkEnd w:id="0"/>
    </w:p>
    <w:p w14:paraId="4CEA487E" w14:textId="77777777" w:rsidR="00387550" w:rsidRDefault="00387550">
      <w:pPr>
        <w:spacing w:after="200" w:line="276" w:lineRule="auto"/>
        <w:rPr>
          <w:b/>
          <w:szCs w:val="20"/>
          <w:lang w:val="en-GB" w:bidi="ar-SA"/>
        </w:rPr>
      </w:pPr>
      <w:r>
        <w:rPr>
          <w:b/>
        </w:rPr>
        <w:br w:type="page"/>
      </w:r>
    </w:p>
    <w:p w14:paraId="208B8B42" w14:textId="292C8C77" w:rsidR="004E0ACA" w:rsidRDefault="004E0ACA" w:rsidP="004E0ACA">
      <w:pPr>
        <w:pStyle w:val="BodyText"/>
        <w:rPr>
          <w:b/>
        </w:rPr>
      </w:pPr>
      <w:r w:rsidRPr="00671084">
        <w:rPr>
          <w:b/>
        </w:rPr>
        <w:lastRenderedPageBreak/>
        <w:t>LGIM, World Equity Index</w:t>
      </w:r>
    </w:p>
    <w:tbl>
      <w:tblPr>
        <w:tblStyle w:val="bwTable"/>
        <w:tblW w:w="0" w:type="auto"/>
        <w:jc w:val="center"/>
        <w:tblLook w:val="04A0" w:firstRow="1" w:lastRow="0" w:firstColumn="1" w:lastColumn="0" w:noHBand="0" w:noVBand="1"/>
      </w:tblPr>
      <w:tblGrid>
        <w:gridCol w:w="1648"/>
        <w:gridCol w:w="2401"/>
        <w:gridCol w:w="2745"/>
        <w:gridCol w:w="3062"/>
      </w:tblGrid>
      <w:tr w:rsidR="004E0ACA" w:rsidRPr="004E0ACA" w14:paraId="460BC7AB" w14:textId="77777777" w:rsidTr="00743761">
        <w:trPr>
          <w:cnfStyle w:val="100000000000" w:firstRow="1" w:lastRow="0" w:firstColumn="0" w:lastColumn="0" w:oddVBand="0" w:evenVBand="0" w:oddHBand="0" w:evenHBand="0" w:firstRowFirstColumn="0" w:firstRowLastColumn="0" w:lastRowFirstColumn="0" w:lastRowLastColumn="0"/>
          <w:trHeight w:val="270"/>
          <w:tblHeader/>
          <w:jc w:val="center"/>
        </w:trPr>
        <w:tc>
          <w:tcPr>
            <w:tcW w:w="0" w:type="auto"/>
            <w:hideMark/>
          </w:tcPr>
          <w:p w14:paraId="37409B48" w14:textId="77777777" w:rsidR="004E0ACA" w:rsidRPr="004E0ACA" w:rsidRDefault="004E0ACA" w:rsidP="004E0ACA">
            <w:pPr>
              <w:rPr>
                <w:rFonts w:eastAsia="Times New Roman" w:cs="Segoe UI"/>
                <w:b/>
                <w:bCs/>
                <w:color w:val="41C0F0"/>
                <w:sz w:val="16"/>
                <w:szCs w:val="16"/>
                <w:lang w:val="en-GB" w:eastAsia="en-GB" w:bidi="ar-SA"/>
              </w:rPr>
            </w:pPr>
            <w:r w:rsidRPr="004E0ACA">
              <w:rPr>
                <w:rFonts w:eastAsia="Times New Roman" w:cs="Segoe UI"/>
                <w:b/>
                <w:bCs/>
                <w:color w:val="41C0F0"/>
                <w:sz w:val="16"/>
                <w:szCs w:val="16"/>
                <w:lang w:val="en-GB" w:eastAsia="en-GB" w:bidi="ar-SA"/>
              </w:rPr>
              <w:t> </w:t>
            </w:r>
          </w:p>
        </w:tc>
        <w:tc>
          <w:tcPr>
            <w:tcW w:w="0" w:type="auto"/>
            <w:hideMark/>
          </w:tcPr>
          <w:p w14:paraId="4491FACA" w14:textId="77777777" w:rsidR="004E0ACA" w:rsidRPr="004E0ACA" w:rsidRDefault="004E0ACA" w:rsidP="004E0ACA">
            <w:pPr>
              <w:jc w:val="center"/>
              <w:rPr>
                <w:rFonts w:eastAsia="Times New Roman" w:cs="Segoe UI"/>
                <w:b/>
                <w:bCs/>
                <w:color w:val="41C0F0"/>
                <w:sz w:val="16"/>
                <w:szCs w:val="16"/>
                <w:lang w:val="en-GB" w:eastAsia="en-GB" w:bidi="ar-SA"/>
              </w:rPr>
            </w:pPr>
            <w:r w:rsidRPr="004E0ACA">
              <w:rPr>
                <w:rFonts w:eastAsia="Times New Roman" w:cs="Segoe UI"/>
                <w:b/>
                <w:bCs/>
                <w:color w:val="41C0F0"/>
                <w:sz w:val="16"/>
                <w:szCs w:val="16"/>
                <w:lang w:val="en-GB" w:eastAsia="en-GB" w:bidi="ar-SA"/>
              </w:rPr>
              <w:t>Vote 1</w:t>
            </w:r>
          </w:p>
        </w:tc>
        <w:tc>
          <w:tcPr>
            <w:tcW w:w="2745" w:type="dxa"/>
            <w:hideMark/>
          </w:tcPr>
          <w:p w14:paraId="2F4EE4DC" w14:textId="77777777" w:rsidR="004E0ACA" w:rsidRPr="004E0ACA" w:rsidRDefault="004E0ACA" w:rsidP="004E0ACA">
            <w:pPr>
              <w:jc w:val="center"/>
              <w:rPr>
                <w:rFonts w:eastAsia="Times New Roman" w:cs="Segoe UI"/>
                <w:b/>
                <w:bCs/>
                <w:color w:val="41C0F0"/>
                <w:sz w:val="16"/>
                <w:szCs w:val="16"/>
                <w:lang w:val="en-GB" w:eastAsia="en-GB" w:bidi="ar-SA"/>
              </w:rPr>
            </w:pPr>
            <w:r w:rsidRPr="004E0ACA">
              <w:rPr>
                <w:rFonts w:eastAsia="Times New Roman" w:cs="Segoe UI"/>
                <w:b/>
                <w:bCs/>
                <w:color w:val="41C0F0"/>
                <w:sz w:val="16"/>
                <w:szCs w:val="16"/>
                <w:lang w:val="en-GB" w:eastAsia="en-GB" w:bidi="ar-SA"/>
              </w:rPr>
              <w:t>Vote 2</w:t>
            </w:r>
          </w:p>
        </w:tc>
        <w:tc>
          <w:tcPr>
            <w:tcW w:w="3062" w:type="dxa"/>
            <w:hideMark/>
          </w:tcPr>
          <w:p w14:paraId="00AE9EB9" w14:textId="77777777" w:rsidR="004E0ACA" w:rsidRPr="004E0ACA" w:rsidRDefault="004E0ACA" w:rsidP="004E0ACA">
            <w:pPr>
              <w:jc w:val="center"/>
              <w:rPr>
                <w:rFonts w:eastAsia="Times New Roman" w:cs="Segoe UI"/>
                <w:b/>
                <w:bCs/>
                <w:color w:val="41C0F0"/>
                <w:sz w:val="16"/>
                <w:szCs w:val="16"/>
                <w:lang w:val="en-GB" w:eastAsia="en-GB" w:bidi="ar-SA"/>
              </w:rPr>
            </w:pPr>
            <w:r w:rsidRPr="004E0ACA">
              <w:rPr>
                <w:rFonts w:eastAsia="Times New Roman" w:cs="Segoe UI"/>
                <w:b/>
                <w:bCs/>
                <w:color w:val="41C0F0"/>
                <w:sz w:val="16"/>
                <w:szCs w:val="16"/>
                <w:lang w:val="en-GB" w:eastAsia="en-GB" w:bidi="ar-SA"/>
              </w:rPr>
              <w:t>Vote 3</w:t>
            </w:r>
          </w:p>
        </w:tc>
      </w:tr>
      <w:tr w:rsidR="004E0ACA" w:rsidRPr="004E0ACA" w14:paraId="6CDC08CA" w14:textId="77777777" w:rsidTr="00743761">
        <w:trPr>
          <w:cnfStyle w:val="000000100000" w:firstRow="0" w:lastRow="0" w:firstColumn="0" w:lastColumn="0" w:oddVBand="0" w:evenVBand="0" w:oddHBand="1" w:evenHBand="0" w:firstRowFirstColumn="0" w:firstRowLastColumn="0" w:lastRowFirstColumn="0" w:lastRowLastColumn="0"/>
          <w:trHeight w:val="270"/>
          <w:jc w:val="center"/>
        </w:trPr>
        <w:tc>
          <w:tcPr>
            <w:tcW w:w="0" w:type="auto"/>
            <w:hideMark/>
          </w:tcPr>
          <w:p w14:paraId="4CF7C842" w14:textId="77777777" w:rsidR="004E0ACA" w:rsidRPr="004E0ACA" w:rsidRDefault="004E0ACA" w:rsidP="004E0ACA">
            <w:pPr>
              <w:rPr>
                <w:rFonts w:eastAsia="Times New Roman" w:cs="Segoe UI"/>
                <w:b/>
                <w:bCs/>
                <w:color w:val="000000"/>
                <w:sz w:val="16"/>
                <w:szCs w:val="16"/>
                <w:lang w:val="en-GB" w:eastAsia="en-GB" w:bidi="ar-SA"/>
              </w:rPr>
            </w:pPr>
            <w:r w:rsidRPr="004E0ACA">
              <w:rPr>
                <w:rFonts w:eastAsia="Times New Roman" w:cs="Segoe UI"/>
                <w:b/>
                <w:bCs/>
                <w:color w:val="000000"/>
                <w:sz w:val="16"/>
                <w:szCs w:val="16"/>
                <w:lang w:val="en-GB" w:eastAsia="en-GB" w:bidi="ar-SA"/>
              </w:rPr>
              <w:t>Company name</w:t>
            </w:r>
          </w:p>
        </w:tc>
        <w:tc>
          <w:tcPr>
            <w:tcW w:w="0" w:type="auto"/>
            <w:hideMark/>
          </w:tcPr>
          <w:p w14:paraId="58CA68D0" w14:textId="77777777" w:rsidR="004E0ACA" w:rsidRPr="004E0ACA" w:rsidRDefault="004E0ACA" w:rsidP="004E0ACA">
            <w:pPr>
              <w:jc w:val="center"/>
              <w:rPr>
                <w:rFonts w:eastAsia="Times New Roman" w:cs="Segoe UI"/>
                <w:color w:val="000000"/>
                <w:sz w:val="16"/>
                <w:szCs w:val="16"/>
                <w:lang w:val="en-GB" w:eastAsia="en-GB" w:bidi="ar-SA"/>
              </w:rPr>
            </w:pPr>
            <w:r w:rsidRPr="004E0ACA">
              <w:rPr>
                <w:rFonts w:eastAsia="Times New Roman" w:cs="Segoe UI"/>
                <w:color w:val="000000"/>
                <w:sz w:val="16"/>
                <w:szCs w:val="16"/>
                <w:lang w:val="en-GB" w:eastAsia="en-GB" w:bidi="ar-SA"/>
              </w:rPr>
              <w:t>Whitehaven Coal</w:t>
            </w:r>
          </w:p>
        </w:tc>
        <w:tc>
          <w:tcPr>
            <w:tcW w:w="2745" w:type="dxa"/>
            <w:hideMark/>
          </w:tcPr>
          <w:p w14:paraId="6823CF6C" w14:textId="77777777" w:rsidR="004E0ACA" w:rsidRPr="004E0ACA" w:rsidRDefault="004E0ACA" w:rsidP="004E0ACA">
            <w:pPr>
              <w:jc w:val="center"/>
              <w:rPr>
                <w:rFonts w:eastAsia="Times New Roman" w:cs="Segoe UI"/>
                <w:color w:val="000000"/>
                <w:sz w:val="16"/>
                <w:szCs w:val="16"/>
                <w:lang w:val="en-GB" w:eastAsia="en-GB" w:bidi="ar-SA"/>
              </w:rPr>
            </w:pPr>
            <w:r w:rsidRPr="004E0ACA">
              <w:rPr>
                <w:rFonts w:eastAsia="Times New Roman" w:cs="Segoe UI"/>
                <w:color w:val="000000"/>
                <w:sz w:val="16"/>
                <w:szCs w:val="16"/>
                <w:lang w:val="en-GB" w:eastAsia="en-GB" w:bidi="ar-SA"/>
              </w:rPr>
              <w:t>Olympus Corporation</w:t>
            </w:r>
          </w:p>
        </w:tc>
        <w:tc>
          <w:tcPr>
            <w:tcW w:w="3062" w:type="dxa"/>
            <w:hideMark/>
          </w:tcPr>
          <w:p w14:paraId="40D95699" w14:textId="77777777" w:rsidR="004E0ACA" w:rsidRPr="004E0ACA" w:rsidRDefault="004E0ACA" w:rsidP="004E0ACA">
            <w:pPr>
              <w:jc w:val="center"/>
              <w:rPr>
                <w:rFonts w:eastAsia="Times New Roman" w:cs="Segoe UI"/>
                <w:color w:val="000000"/>
                <w:sz w:val="16"/>
                <w:szCs w:val="16"/>
                <w:lang w:val="en-GB" w:eastAsia="en-GB" w:bidi="ar-SA"/>
              </w:rPr>
            </w:pPr>
            <w:r w:rsidRPr="004E0ACA">
              <w:rPr>
                <w:rFonts w:eastAsia="Times New Roman" w:cs="Segoe UI"/>
                <w:color w:val="000000"/>
                <w:sz w:val="16"/>
                <w:szCs w:val="16"/>
                <w:lang w:val="en-GB" w:eastAsia="en-GB" w:bidi="ar-SA"/>
              </w:rPr>
              <w:t>Tyson Foods</w:t>
            </w:r>
          </w:p>
        </w:tc>
      </w:tr>
      <w:tr w:rsidR="004E0ACA" w:rsidRPr="004E0ACA" w14:paraId="11B65D0F" w14:textId="77777777" w:rsidTr="00743761">
        <w:trPr>
          <w:cnfStyle w:val="000000010000" w:firstRow="0" w:lastRow="0" w:firstColumn="0" w:lastColumn="0" w:oddVBand="0" w:evenVBand="0" w:oddHBand="0" w:evenHBand="1" w:firstRowFirstColumn="0" w:firstRowLastColumn="0" w:lastRowFirstColumn="0" w:lastRowLastColumn="0"/>
          <w:trHeight w:val="270"/>
          <w:jc w:val="center"/>
        </w:trPr>
        <w:tc>
          <w:tcPr>
            <w:tcW w:w="0" w:type="auto"/>
            <w:hideMark/>
          </w:tcPr>
          <w:p w14:paraId="504A2C16" w14:textId="77777777" w:rsidR="004E0ACA" w:rsidRPr="004E0ACA" w:rsidRDefault="004E0ACA" w:rsidP="004E0ACA">
            <w:pPr>
              <w:rPr>
                <w:rFonts w:eastAsia="Times New Roman" w:cs="Segoe UI"/>
                <w:b/>
                <w:bCs/>
                <w:color w:val="000000"/>
                <w:sz w:val="16"/>
                <w:szCs w:val="16"/>
                <w:lang w:val="en-GB" w:eastAsia="en-GB" w:bidi="ar-SA"/>
              </w:rPr>
            </w:pPr>
            <w:r w:rsidRPr="004E0ACA">
              <w:rPr>
                <w:rFonts w:eastAsia="Times New Roman" w:cs="Segoe UI"/>
                <w:b/>
                <w:bCs/>
                <w:color w:val="000000"/>
                <w:sz w:val="16"/>
                <w:szCs w:val="16"/>
                <w:lang w:val="en-GB" w:eastAsia="en-GB" w:bidi="ar-SA"/>
              </w:rPr>
              <w:t>Date of vote</w:t>
            </w:r>
          </w:p>
        </w:tc>
        <w:tc>
          <w:tcPr>
            <w:tcW w:w="0" w:type="auto"/>
            <w:hideMark/>
          </w:tcPr>
          <w:p w14:paraId="488A27D3" w14:textId="77777777" w:rsidR="004E0ACA" w:rsidRPr="004E0ACA" w:rsidRDefault="004E0ACA" w:rsidP="004E0ACA">
            <w:pPr>
              <w:jc w:val="center"/>
              <w:rPr>
                <w:rFonts w:eastAsia="Times New Roman" w:cs="Segoe UI"/>
                <w:color w:val="000000"/>
                <w:sz w:val="16"/>
                <w:szCs w:val="16"/>
                <w:lang w:val="en-GB" w:eastAsia="en-GB" w:bidi="ar-SA"/>
              </w:rPr>
            </w:pPr>
            <w:r w:rsidRPr="004E0ACA">
              <w:rPr>
                <w:rFonts w:eastAsia="Times New Roman" w:cs="Segoe UI"/>
                <w:color w:val="000000"/>
                <w:sz w:val="16"/>
                <w:szCs w:val="16"/>
                <w:lang w:val="en-GB" w:eastAsia="en-GB" w:bidi="ar-SA"/>
              </w:rPr>
              <w:t>22 November 2020</w:t>
            </w:r>
          </w:p>
        </w:tc>
        <w:tc>
          <w:tcPr>
            <w:tcW w:w="2745" w:type="dxa"/>
            <w:hideMark/>
          </w:tcPr>
          <w:p w14:paraId="7726AFB4" w14:textId="77777777" w:rsidR="004E0ACA" w:rsidRPr="004E0ACA" w:rsidRDefault="004E0ACA" w:rsidP="004E0ACA">
            <w:pPr>
              <w:jc w:val="center"/>
              <w:rPr>
                <w:rFonts w:eastAsia="Times New Roman" w:cs="Segoe UI"/>
                <w:color w:val="000000"/>
                <w:sz w:val="16"/>
                <w:szCs w:val="16"/>
                <w:lang w:val="en-GB" w:eastAsia="en-GB" w:bidi="ar-SA"/>
              </w:rPr>
            </w:pPr>
            <w:r w:rsidRPr="004E0ACA">
              <w:rPr>
                <w:rFonts w:eastAsia="Times New Roman" w:cs="Segoe UI"/>
                <w:color w:val="000000"/>
                <w:sz w:val="16"/>
                <w:szCs w:val="16"/>
                <w:lang w:val="en-GB" w:eastAsia="en-GB" w:bidi="ar-SA"/>
              </w:rPr>
              <w:t>30 July 2020</w:t>
            </w:r>
          </w:p>
        </w:tc>
        <w:tc>
          <w:tcPr>
            <w:tcW w:w="3062" w:type="dxa"/>
            <w:hideMark/>
          </w:tcPr>
          <w:p w14:paraId="222F755E" w14:textId="77777777" w:rsidR="004E0ACA" w:rsidRPr="004E0ACA" w:rsidRDefault="004E0ACA" w:rsidP="004E0ACA">
            <w:pPr>
              <w:jc w:val="center"/>
              <w:rPr>
                <w:rFonts w:eastAsia="Times New Roman" w:cs="Segoe UI"/>
                <w:color w:val="000000"/>
                <w:sz w:val="16"/>
                <w:szCs w:val="16"/>
                <w:lang w:val="en-GB" w:eastAsia="en-GB" w:bidi="ar-SA"/>
              </w:rPr>
            </w:pPr>
            <w:r w:rsidRPr="004E0ACA">
              <w:rPr>
                <w:rFonts w:eastAsia="Times New Roman" w:cs="Segoe UI"/>
                <w:color w:val="000000"/>
                <w:sz w:val="16"/>
                <w:szCs w:val="16"/>
                <w:lang w:val="en-GB" w:eastAsia="en-GB" w:bidi="ar-SA"/>
              </w:rPr>
              <w:t>11 February 2021</w:t>
            </w:r>
          </w:p>
        </w:tc>
      </w:tr>
      <w:tr w:rsidR="004E0ACA" w:rsidRPr="004E0ACA" w14:paraId="0CF0D61E" w14:textId="77777777" w:rsidTr="00743761">
        <w:trPr>
          <w:cnfStyle w:val="000000100000" w:firstRow="0" w:lastRow="0" w:firstColumn="0" w:lastColumn="0" w:oddVBand="0" w:evenVBand="0" w:oddHBand="1" w:evenHBand="0" w:firstRowFirstColumn="0" w:firstRowLastColumn="0" w:lastRowFirstColumn="0" w:lastRowLastColumn="0"/>
          <w:trHeight w:val="1197"/>
          <w:jc w:val="center"/>
        </w:trPr>
        <w:tc>
          <w:tcPr>
            <w:tcW w:w="0" w:type="auto"/>
            <w:hideMark/>
          </w:tcPr>
          <w:p w14:paraId="1C1CCDFC" w14:textId="77777777" w:rsidR="004E0ACA" w:rsidRPr="004E0ACA" w:rsidRDefault="004E0ACA" w:rsidP="004E0ACA">
            <w:pPr>
              <w:rPr>
                <w:rFonts w:eastAsia="Times New Roman" w:cs="Segoe UI"/>
                <w:b/>
                <w:bCs/>
                <w:color w:val="000000"/>
                <w:sz w:val="16"/>
                <w:szCs w:val="16"/>
                <w:lang w:val="en-GB" w:eastAsia="en-GB" w:bidi="ar-SA"/>
              </w:rPr>
            </w:pPr>
            <w:r w:rsidRPr="004E0ACA">
              <w:rPr>
                <w:rFonts w:eastAsia="Times New Roman" w:cs="Segoe UI"/>
                <w:b/>
                <w:bCs/>
                <w:color w:val="000000"/>
                <w:sz w:val="16"/>
                <w:szCs w:val="16"/>
                <w:lang w:val="en-GB" w:eastAsia="en-GB" w:bidi="ar-SA"/>
              </w:rPr>
              <w:t>Summary of the resolution</w:t>
            </w:r>
          </w:p>
        </w:tc>
        <w:tc>
          <w:tcPr>
            <w:tcW w:w="0" w:type="auto"/>
            <w:hideMark/>
          </w:tcPr>
          <w:p w14:paraId="1817059B" w14:textId="2E7C639A" w:rsidR="004E0ACA" w:rsidRPr="004E0ACA" w:rsidRDefault="00493B5C" w:rsidP="00743761">
            <w:pPr>
              <w:jc w:val="center"/>
              <w:rPr>
                <w:rFonts w:eastAsia="Times New Roman" w:cs="Segoe UI"/>
                <w:color w:val="000000"/>
                <w:sz w:val="16"/>
                <w:szCs w:val="16"/>
                <w:lang w:val="en-GB" w:eastAsia="en-GB" w:bidi="ar-SA"/>
              </w:rPr>
            </w:pPr>
            <w:r>
              <w:rPr>
                <w:rFonts w:eastAsia="Times New Roman" w:cs="Segoe UI"/>
                <w:color w:val="000000"/>
                <w:sz w:val="16"/>
                <w:szCs w:val="16"/>
                <w:lang w:val="en-GB" w:eastAsia="en-GB" w:bidi="ar-SA"/>
              </w:rPr>
              <w:t>Report</w:t>
            </w:r>
            <w:r w:rsidR="004E0ACA" w:rsidRPr="004E0ACA">
              <w:rPr>
                <w:rFonts w:eastAsia="Times New Roman" w:cs="Segoe UI"/>
                <w:color w:val="000000"/>
                <w:sz w:val="16"/>
                <w:szCs w:val="16"/>
                <w:lang w:val="en-GB" w:eastAsia="en-GB" w:bidi="ar-SA"/>
              </w:rPr>
              <w:t xml:space="preserve"> on the potential wind-down of the company's coal operations, with the potential to return increasing amounts of capital to shareholders.</w:t>
            </w:r>
          </w:p>
        </w:tc>
        <w:tc>
          <w:tcPr>
            <w:tcW w:w="2745" w:type="dxa"/>
            <w:hideMark/>
          </w:tcPr>
          <w:p w14:paraId="463EC29B" w14:textId="7505CA55" w:rsidR="004E0ACA" w:rsidRPr="004E0ACA" w:rsidRDefault="004E0ACA" w:rsidP="00743761">
            <w:pPr>
              <w:jc w:val="center"/>
              <w:rPr>
                <w:rFonts w:eastAsia="Times New Roman" w:cs="Segoe UI"/>
                <w:color w:val="000000"/>
                <w:sz w:val="16"/>
                <w:szCs w:val="16"/>
                <w:lang w:val="en-GB" w:eastAsia="en-GB" w:bidi="ar-SA"/>
              </w:rPr>
            </w:pPr>
            <w:r w:rsidRPr="004E0ACA">
              <w:rPr>
                <w:rFonts w:eastAsia="Times New Roman" w:cs="Segoe UI"/>
                <w:color w:val="000000"/>
                <w:sz w:val="16"/>
                <w:szCs w:val="16"/>
                <w:lang w:val="en-GB" w:eastAsia="en-GB" w:bidi="ar-SA"/>
              </w:rPr>
              <w:t xml:space="preserve">Elect Director Takeuchi, </w:t>
            </w:r>
            <w:proofErr w:type="spellStart"/>
            <w:r w:rsidRPr="004E0ACA">
              <w:rPr>
                <w:rFonts w:eastAsia="Times New Roman" w:cs="Segoe UI"/>
                <w:color w:val="000000"/>
                <w:sz w:val="16"/>
                <w:szCs w:val="16"/>
                <w:lang w:val="en-GB" w:eastAsia="en-GB" w:bidi="ar-SA"/>
              </w:rPr>
              <w:t>Yasuo</w:t>
            </w:r>
            <w:proofErr w:type="spellEnd"/>
            <w:r w:rsidRPr="004E0ACA">
              <w:rPr>
                <w:rFonts w:eastAsia="Times New Roman" w:cs="Segoe UI"/>
                <w:color w:val="000000"/>
                <w:sz w:val="16"/>
                <w:szCs w:val="16"/>
                <w:lang w:val="en-GB" w:eastAsia="en-GB" w:bidi="ar-SA"/>
              </w:rPr>
              <w:t>.</w:t>
            </w:r>
          </w:p>
        </w:tc>
        <w:tc>
          <w:tcPr>
            <w:tcW w:w="3062" w:type="dxa"/>
            <w:hideMark/>
          </w:tcPr>
          <w:p w14:paraId="70BC9018" w14:textId="7A301257" w:rsidR="004E0ACA" w:rsidRPr="004E0ACA" w:rsidRDefault="004E0ACA" w:rsidP="00743761">
            <w:pPr>
              <w:jc w:val="center"/>
              <w:rPr>
                <w:rFonts w:eastAsia="Times New Roman" w:cs="Segoe UI"/>
                <w:color w:val="000000"/>
                <w:sz w:val="16"/>
                <w:szCs w:val="16"/>
                <w:lang w:val="en-GB" w:eastAsia="en-GB" w:bidi="ar-SA"/>
              </w:rPr>
            </w:pPr>
            <w:r w:rsidRPr="004E0ACA">
              <w:rPr>
                <w:rFonts w:eastAsia="Times New Roman" w:cs="Segoe UI"/>
                <w:color w:val="000000"/>
                <w:sz w:val="16"/>
                <w:szCs w:val="16"/>
                <w:lang w:val="en-GB" w:eastAsia="en-GB" w:bidi="ar-SA"/>
              </w:rPr>
              <w:t>Report on Human Rights Due Diligence</w:t>
            </w:r>
          </w:p>
        </w:tc>
      </w:tr>
      <w:tr w:rsidR="004E0ACA" w:rsidRPr="004E0ACA" w14:paraId="03954DFA" w14:textId="77777777" w:rsidTr="00743761">
        <w:trPr>
          <w:cnfStyle w:val="000000010000" w:firstRow="0" w:lastRow="0" w:firstColumn="0" w:lastColumn="0" w:oddVBand="0" w:evenVBand="0" w:oddHBand="0" w:evenHBand="1" w:firstRowFirstColumn="0" w:firstRowLastColumn="0" w:lastRowFirstColumn="0" w:lastRowLastColumn="0"/>
          <w:trHeight w:val="435"/>
          <w:jc w:val="center"/>
        </w:trPr>
        <w:tc>
          <w:tcPr>
            <w:tcW w:w="0" w:type="auto"/>
            <w:hideMark/>
          </w:tcPr>
          <w:p w14:paraId="0E52F7DF" w14:textId="77777777" w:rsidR="004E0ACA" w:rsidRPr="004E0ACA" w:rsidRDefault="004E0ACA" w:rsidP="004E0ACA">
            <w:pPr>
              <w:rPr>
                <w:rFonts w:eastAsia="Times New Roman" w:cs="Segoe UI"/>
                <w:b/>
                <w:bCs/>
                <w:color w:val="000000"/>
                <w:sz w:val="16"/>
                <w:szCs w:val="16"/>
                <w:lang w:val="en-GB" w:eastAsia="en-GB" w:bidi="ar-SA"/>
              </w:rPr>
            </w:pPr>
            <w:r w:rsidRPr="004E0ACA">
              <w:rPr>
                <w:rFonts w:eastAsia="Times New Roman" w:cs="Segoe UI"/>
                <w:b/>
                <w:bCs/>
                <w:color w:val="000000"/>
                <w:sz w:val="16"/>
                <w:szCs w:val="16"/>
                <w:lang w:val="en-GB" w:eastAsia="en-GB" w:bidi="ar-SA"/>
              </w:rPr>
              <w:t>How the manager voted</w:t>
            </w:r>
          </w:p>
        </w:tc>
        <w:tc>
          <w:tcPr>
            <w:tcW w:w="0" w:type="auto"/>
            <w:hideMark/>
          </w:tcPr>
          <w:p w14:paraId="1FFBD79E" w14:textId="2B7B03E6" w:rsidR="004E0ACA" w:rsidRPr="004E0ACA" w:rsidRDefault="00493B5C" w:rsidP="00743761">
            <w:pPr>
              <w:jc w:val="center"/>
              <w:rPr>
                <w:rFonts w:eastAsia="Times New Roman" w:cs="Segoe UI"/>
                <w:color w:val="000000"/>
                <w:sz w:val="16"/>
                <w:szCs w:val="16"/>
                <w:lang w:val="en-GB" w:eastAsia="en-GB" w:bidi="ar-SA"/>
              </w:rPr>
            </w:pPr>
            <w:r>
              <w:rPr>
                <w:rFonts w:eastAsia="Times New Roman" w:cs="Segoe UI"/>
                <w:color w:val="000000"/>
                <w:sz w:val="16"/>
                <w:szCs w:val="16"/>
                <w:lang w:val="en-GB" w:eastAsia="en-GB" w:bidi="ar-SA"/>
              </w:rPr>
              <w:t>For</w:t>
            </w:r>
          </w:p>
        </w:tc>
        <w:tc>
          <w:tcPr>
            <w:tcW w:w="2745" w:type="dxa"/>
            <w:hideMark/>
          </w:tcPr>
          <w:p w14:paraId="1B8B8551" w14:textId="2951464E" w:rsidR="004E0ACA" w:rsidRPr="004E0ACA" w:rsidRDefault="00493B5C" w:rsidP="00743761">
            <w:pPr>
              <w:jc w:val="center"/>
              <w:rPr>
                <w:rFonts w:eastAsia="Times New Roman" w:cs="Segoe UI"/>
                <w:color w:val="000000"/>
                <w:sz w:val="16"/>
                <w:szCs w:val="16"/>
                <w:lang w:val="en-GB" w:eastAsia="en-GB" w:bidi="ar-SA"/>
              </w:rPr>
            </w:pPr>
            <w:r>
              <w:rPr>
                <w:rFonts w:eastAsia="Times New Roman" w:cs="Segoe UI"/>
                <w:color w:val="000000"/>
                <w:sz w:val="16"/>
                <w:szCs w:val="16"/>
                <w:lang w:val="en-GB" w:eastAsia="en-GB" w:bidi="ar-SA"/>
              </w:rPr>
              <w:t>Against</w:t>
            </w:r>
          </w:p>
        </w:tc>
        <w:tc>
          <w:tcPr>
            <w:tcW w:w="3062" w:type="dxa"/>
            <w:hideMark/>
          </w:tcPr>
          <w:p w14:paraId="528641C0" w14:textId="2E02D735" w:rsidR="004E0ACA" w:rsidRPr="004E0ACA" w:rsidRDefault="007C46B0" w:rsidP="00743761">
            <w:pPr>
              <w:jc w:val="center"/>
              <w:rPr>
                <w:rFonts w:eastAsia="Times New Roman" w:cs="Segoe UI"/>
                <w:color w:val="000000"/>
                <w:sz w:val="16"/>
                <w:szCs w:val="16"/>
                <w:lang w:val="en-GB" w:eastAsia="en-GB" w:bidi="ar-SA"/>
              </w:rPr>
            </w:pPr>
            <w:r>
              <w:rPr>
                <w:rFonts w:eastAsia="Times New Roman" w:cs="Segoe UI"/>
                <w:color w:val="000000"/>
                <w:sz w:val="16"/>
                <w:szCs w:val="16"/>
                <w:lang w:val="en-GB" w:eastAsia="en-GB" w:bidi="ar-SA"/>
              </w:rPr>
              <w:t>For</w:t>
            </w:r>
          </w:p>
        </w:tc>
      </w:tr>
      <w:tr w:rsidR="00F37C6C" w:rsidRPr="004E0ACA" w14:paraId="69529317" w14:textId="77777777" w:rsidTr="00743761">
        <w:trPr>
          <w:cnfStyle w:val="000000100000" w:firstRow="0" w:lastRow="0" w:firstColumn="0" w:lastColumn="0" w:oddVBand="0" w:evenVBand="0" w:oddHBand="1" w:evenHBand="0" w:firstRowFirstColumn="0" w:firstRowLastColumn="0" w:lastRowFirstColumn="0" w:lastRowLastColumn="0"/>
          <w:trHeight w:val="1807"/>
          <w:jc w:val="center"/>
        </w:trPr>
        <w:tc>
          <w:tcPr>
            <w:tcW w:w="0" w:type="auto"/>
            <w:hideMark/>
          </w:tcPr>
          <w:p w14:paraId="11DD2087" w14:textId="77777777" w:rsidR="00F37C6C" w:rsidRPr="004E0ACA" w:rsidRDefault="00F37C6C" w:rsidP="004E0ACA">
            <w:pPr>
              <w:rPr>
                <w:rFonts w:eastAsia="Times New Roman" w:cs="Segoe UI"/>
                <w:b/>
                <w:bCs/>
                <w:color w:val="000000"/>
                <w:sz w:val="16"/>
                <w:szCs w:val="16"/>
                <w:lang w:val="en-GB" w:eastAsia="en-GB" w:bidi="ar-SA"/>
              </w:rPr>
            </w:pPr>
            <w:r w:rsidRPr="004E0ACA">
              <w:rPr>
                <w:rFonts w:eastAsia="Times New Roman" w:cs="Segoe UI"/>
                <w:b/>
                <w:bCs/>
                <w:color w:val="000000"/>
                <w:sz w:val="16"/>
                <w:szCs w:val="16"/>
                <w:lang w:val="en-GB" w:eastAsia="en-GB" w:bidi="ar-SA"/>
              </w:rPr>
              <w:t>If the vote was against management, did the manager communicate their intent to the company ahead of the vote?</w:t>
            </w:r>
          </w:p>
        </w:tc>
        <w:tc>
          <w:tcPr>
            <w:tcW w:w="0" w:type="auto"/>
            <w:gridSpan w:val="3"/>
            <w:hideMark/>
          </w:tcPr>
          <w:p w14:paraId="20AEB496" w14:textId="36576A2D" w:rsidR="00F37C6C" w:rsidRPr="004E0ACA" w:rsidRDefault="00F37C6C" w:rsidP="00743761">
            <w:pPr>
              <w:jc w:val="center"/>
              <w:rPr>
                <w:rFonts w:eastAsia="Times New Roman" w:cs="Segoe UI"/>
                <w:color w:val="000000"/>
                <w:sz w:val="16"/>
                <w:szCs w:val="16"/>
                <w:lang w:val="en-GB" w:eastAsia="en-GB" w:bidi="ar-SA"/>
              </w:rPr>
            </w:pPr>
            <w:r w:rsidRPr="004E0ACA">
              <w:rPr>
                <w:rFonts w:eastAsia="Times New Roman" w:cs="Segoe UI"/>
                <w:color w:val="000000"/>
                <w:sz w:val="16"/>
                <w:szCs w:val="16"/>
                <w:lang w:val="en-GB" w:eastAsia="en-GB" w:bidi="ar-SA"/>
              </w:rPr>
              <w:t>LGIM publicly communicates its vote instructions in monthly regional vote reports on its website with the rationale for all votes against management. It is their policy not to engage with their investee companies in the three weeks prior to an AGM as their engagement is not limited to shareholder meeting topics.</w:t>
            </w:r>
          </w:p>
        </w:tc>
      </w:tr>
      <w:tr w:rsidR="004E0ACA" w:rsidRPr="004E0ACA" w14:paraId="29A46E70" w14:textId="77777777" w:rsidTr="00743761">
        <w:trPr>
          <w:cnfStyle w:val="000000010000" w:firstRow="0" w:lastRow="0" w:firstColumn="0" w:lastColumn="0" w:oddVBand="0" w:evenVBand="0" w:oddHBand="0" w:evenHBand="1" w:firstRowFirstColumn="0" w:firstRowLastColumn="0" w:lastRowFirstColumn="0" w:lastRowLastColumn="0"/>
          <w:trHeight w:val="3452"/>
          <w:jc w:val="center"/>
        </w:trPr>
        <w:tc>
          <w:tcPr>
            <w:tcW w:w="0" w:type="auto"/>
            <w:hideMark/>
          </w:tcPr>
          <w:p w14:paraId="1FE1D254" w14:textId="77777777" w:rsidR="004E0ACA" w:rsidRPr="004E0ACA" w:rsidRDefault="004E0ACA" w:rsidP="004E0ACA">
            <w:pPr>
              <w:rPr>
                <w:rFonts w:eastAsia="Times New Roman" w:cs="Segoe UI"/>
                <w:b/>
                <w:bCs/>
                <w:color w:val="000000"/>
                <w:sz w:val="16"/>
                <w:szCs w:val="16"/>
                <w:lang w:val="en-GB" w:eastAsia="en-GB" w:bidi="ar-SA"/>
              </w:rPr>
            </w:pPr>
            <w:r w:rsidRPr="004E0ACA">
              <w:rPr>
                <w:rFonts w:eastAsia="Times New Roman" w:cs="Segoe UI"/>
                <w:b/>
                <w:bCs/>
                <w:color w:val="000000"/>
                <w:sz w:val="16"/>
                <w:szCs w:val="16"/>
                <w:lang w:val="en-GB" w:eastAsia="en-GB" w:bidi="ar-SA"/>
              </w:rPr>
              <w:t>Rationale for the voting decision</w:t>
            </w:r>
          </w:p>
        </w:tc>
        <w:tc>
          <w:tcPr>
            <w:tcW w:w="0" w:type="auto"/>
            <w:hideMark/>
          </w:tcPr>
          <w:p w14:paraId="354EB124" w14:textId="77777777" w:rsidR="004E0ACA" w:rsidRPr="004E0ACA" w:rsidRDefault="004E0ACA" w:rsidP="00743761">
            <w:pPr>
              <w:jc w:val="center"/>
              <w:rPr>
                <w:rFonts w:eastAsia="Times New Roman" w:cs="Segoe UI"/>
                <w:color w:val="000000"/>
                <w:sz w:val="16"/>
                <w:szCs w:val="16"/>
                <w:lang w:val="en-GB" w:eastAsia="en-GB" w:bidi="ar-SA"/>
              </w:rPr>
            </w:pPr>
            <w:r w:rsidRPr="004E0ACA">
              <w:rPr>
                <w:rFonts w:eastAsia="Times New Roman" w:cs="Segoe UI"/>
                <w:color w:val="000000"/>
                <w:sz w:val="16"/>
                <w:szCs w:val="16"/>
                <w:lang w:val="en-GB" w:eastAsia="en-GB" w:bidi="ar-SA"/>
              </w:rPr>
              <w:t>LGIM has publicly advocated for a ‘managed decline’ for fossil fuel companies, in line with global climate targets, with capital being returned to shareholders instead of spent on diversification and growth projects that risk becoming stranded assets. As the most polluting fossil fuel, the phase out of coal will be key to reaching these global targets.</w:t>
            </w:r>
          </w:p>
        </w:tc>
        <w:tc>
          <w:tcPr>
            <w:tcW w:w="2745" w:type="dxa"/>
            <w:hideMark/>
          </w:tcPr>
          <w:p w14:paraId="26EE76A4" w14:textId="52F2DACE" w:rsidR="004E0ACA" w:rsidRPr="004E0ACA" w:rsidRDefault="00493B5C" w:rsidP="00743761">
            <w:pPr>
              <w:jc w:val="center"/>
              <w:rPr>
                <w:rFonts w:eastAsia="Times New Roman" w:cs="Segoe UI"/>
                <w:color w:val="000000"/>
                <w:sz w:val="16"/>
                <w:szCs w:val="16"/>
                <w:lang w:val="en-GB" w:eastAsia="en-GB" w:bidi="ar-SA"/>
              </w:rPr>
            </w:pPr>
            <w:r w:rsidRPr="004E0ACA">
              <w:rPr>
                <w:rFonts w:eastAsia="Times New Roman" w:cs="Segoe UI"/>
                <w:color w:val="000000"/>
                <w:sz w:val="16"/>
                <w:szCs w:val="16"/>
                <w:lang w:val="en-GB" w:eastAsia="en-GB" w:bidi="ar-SA"/>
              </w:rPr>
              <w:t>Olympus Corporation</w:t>
            </w:r>
            <w:r>
              <w:rPr>
                <w:rFonts w:eastAsia="Times New Roman" w:cs="Segoe UI"/>
                <w:color w:val="000000"/>
                <w:sz w:val="16"/>
                <w:szCs w:val="16"/>
                <w:lang w:val="en-GB" w:eastAsia="en-GB" w:bidi="ar-SA"/>
              </w:rPr>
              <w:t xml:space="preserve"> does not have any women on their boards or at executive level</w:t>
            </w:r>
            <w:r w:rsidRPr="004E0ACA">
              <w:rPr>
                <w:rFonts w:eastAsia="Times New Roman" w:cs="Segoe UI"/>
                <w:color w:val="000000"/>
                <w:sz w:val="16"/>
                <w:szCs w:val="16"/>
                <w:lang w:val="en-GB" w:eastAsia="en-GB" w:bidi="ar-SA"/>
              </w:rPr>
              <w:t xml:space="preserve">. </w:t>
            </w:r>
            <w:r w:rsidR="004E0ACA" w:rsidRPr="004E0ACA">
              <w:rPr>
                <w:rFonts w:eastAsia="Times New Roman" w:cs="Segoe UI"/>
                <w:color w:val="000000"/>
                <w:sz w:val="16"/>
                <w:szCs w:val="16"/>
                <w:lang w:val="en-GB" w:eastAsia="en-GB" w:bidi="ar-SA"/>
              </w:rPr>
              <w:t xml:space="preserve">LGIM have for many years promoted and supported an increase </w:t>
            </w:r>
            <w:r>
              <w:rPr>
                <w:rFonts w:eastAsia="Times New Roman" w:cs="Segoe UI"/>
                <w:color w:val="000000"/>
                <w:sz w:val="16"/>
                <w:szCs w:val="16"/>
                <w:lang w:val="en-GB" w:eastAsia="en-GB" w:bidi="ar-SA"/>
              </w:rPr>
              <w:t>in female representation</w:t>
            </w:r>
            <w:r w:rsidR="004E0ACA" w:rsidRPr="004E0ACA">
              <w:rPr>
                <w:rFonts w:eastAsia="Times New Roman" w:cs="Segoe UI"/>
                <w:color w:val="000000"/>
                <w:sz w:val="16"/>
                <w:szCs w:val="16"/>
                <w:lang w:val="en-GB" w:eastAsia="en-GB" w:bidi="ar-SA"/>
              </w:rPr>
              <w:t>, at the executive level and below. LGIM opposed the election of this director in his capacity as a member of the nomination committee and the most senior member of the board, in order to signal that the company needed to take action on this issue.</w:t>
            </w:r>
          </w:p>
        </w:tc>
        <w:tc>
          <w:tcPr>
            <w:tcW w:w="3062" w:type="dxa"/>
            <w:hideMark/>
          </w:tcPr>
          <w:p w14:paraId="254A2CC6" w14:textId="357944CA" w:rsidR="004E0ACA" w:rsidRPr="004E0ACA" w:rsidRDefault="004E0ACA" w:rsidP="00743761">
            <w:pPr>
              <w:jc w:val="center"/>
              <w:rPr>
                <w:rFonts w:eastAsia="Times New Roman" w:cs="Segoe UI"/>
                <w:color w:val="000000"/>
                <w:sz w:val="16"/>
                <w:szCs w:val="16"/>
                <w:lang w:val="en-GB" w:eastAsia="en-GB" w:bidi="ar-SA"/>
              </w:rPr>
            </w:pPr>
            <w:r w:rsidRPr="004E0ACA">
              <w:rPr>
                <w:rFonts w:eastAsia="Times New Roman" w:cs="Segoe UI"/>
                <w:color w:val="000000"/>
                <w:sz w:val="16"/>
                <w:szCs w:val="16"/>
                <w:lang w:val="en-GB" w:eastAsia="en-GB" w:bidi="ar-SA"/>
              </w:rPr>
              <w:t xml:space="preserve">The pandemic highlighted potential deficiencies in the application of </w:t>
            </w:r>
            <w:r w:rsidR="007C46B0">
              <w:rPr>
                <w:rFonts w:eastAsia="Times New Roman" w:cs="Segoe UI"/>
                <w:color w:val="000000"/>
                <w:sz w:val="16"/>
                <w:szCs w:val="16"/>
                <w:lang w:val="en-GB" w:eastAsia="en-GB" w:bidi="ar-SA"/>
              </w:rPr>
              <w:t>Tyson’s</w:t>
            </w:r>
            <w:r w:rsidR="007C46B0" w:rsidRPr="004E0ACA">
              <w:rPr>
                <w:rFonts w:eastAsia="Times New Roman" w:cs="Segoe UI"/>
                <w:color w:val="000000"/>
                <w:sz w:val="16"/>
                <w:szCs w:val="16"/>
                <w:lang w:val="en-GB" w:eastAsia="en-GB" w:bidi="ar-SA"/>
              </w:rPr>
              <w:t xml:space="preserve"> </w:t>
            </w:r>
            <w:r w:rsidRPr="004E0ACA">
              <w:rPr>
                <w:rFonts w:eastAsia="Times New Roman" w:cs="Segoe UI"/>
                <w:color w:val="000000"/>
                <w:sz w:val="16"/>
                <w:szCs w:val="16"/>
                <w:lang w:val="en-GB" w:eastAsia="en-GB" w:bidi="ar-SA"/>
              </w:rPr>
              <w:t xml:space="preserve">human rights policies. It is also believed that there have been over 10,000 positive </w:t>
            </w:r>
            <w:r w:rsidR="007C46B0">
              <w:rPr>
                <w:rFonts w:eastAsia="Times New Roman" w:cs="Segoe UI"/>
                <w:color w:val="000000"/>
                <w:sz w:val="16"/>
                <w:szCs w:val="16"/>
                <w:lang w:val="en-GB" w:eastAsia="en-GB" w:bidi="ar-SA"/>
              </w:rPr>
              <w:t xml:space="preserve">COVID </w:t>
            </w:r>
            <w:r w:rsidRPr="004E0ACA">
              <w:rPr>
                <w:rFonts w:eastAsia="Times New Roman" w:cs="Segoe UI"/>
                <w:color w:val="000000"/>
                <w:sz w:val="16"/>
                <w:szCs w:val="16"/>
                <w:lang w:val="en-GB" w:eastAsia="en-GB" w:bidi="ar-SA"/>
              </w:rPr>
              <w:t>cases</w:t>
            </w:r>
            <w:r w:rsidR="007C46B0">
              <w:rPr>
                <w:rFonts w:eastAsia="Times New Roman" w:cs="Segoe UI"/>
                <w:color w:val="000000"/>
                <w:sz w:val="16"/>
                <w:szCs w:val="16"/>
                <w:lang w:val="en-GB" w:eastAsia="en-GB" w:bidi="ar-SA"/>
              </w:rPr>
              <w:t xml:space="preserve"> at the company</w:t>
            </w:r>
            <w:r w:rsidRPr="004E0ACA">
              <w:rPr>
                <w:rFonts w:eastAsia="Times New Roman" w:cs="Segoe UI"/>
                <w:color w:val="000000"/>
                <w:sz w:val="16"/>
                <w:szCs w:val="16"/>
                <w:lang w:val="en-GB" w:eastAsia="en-GB" w:bidi="ar-SA"/>
              </w:rPr>
              <w:t xml:space="preserve"> and 35 deaths. LGIM believes that </w:t>
            </w:r>
            <w:r w:rsidR="00387550">
              <w:rPr>
                <w:rFonts w:eastAsia="Times New Roman" w:cs="Segoe UI"/>
                <w:color w:val="000000"/>
                <w:sz w:val="16"/>
                <w:szCs w:val="16"/>
                <w:lang w:val="en-GB" w:eastAsia="en-GB" w:bidi="ar-SA"/>
              </w:rPr>
              <w:t>invested companies</w:t>
            </w:r>
            <w:r w:rsidRPr="004E0ACA">
              <w:rPr>
                <w:rFonts w:eastAsia="Times New Roman" w:cs="Segoe UI"/>
                <w:color w:val="000000"/>
                <w:sz w:val="16"/>
                <w:szCs w:val="16"/>
                <w:lang w:val="en-GB" w:eastAsia="en-GB" w:bidi="ar-SA"/>
              </w:rPr>
              <w:t xml:space="preserve"> should ensure the health and safety of employees over profits. LGIM believes that this report </w:t>
            </w:r>
            <w:r w:rsidR="007C46B0">
              <w:rPr>
                <w:rFonts w:eastAsia="Times New Roman" w:cs="Segoe UI"/>
                <w:color w:val="000000"/>
                <w:sz w:val="16"/>
                <w:szCs w:val="16"/>
                <w:lang w:val="en-GB" w:eastAsia="en-GB" w:bidi="ar-SA"/>
              </w:rPr>
              <w:t>would have been</w:t>
            </w:r>
            <w:r w:rsidRPr="004E0ACA">
              <w:rPr>
                <w:rFonts w:eastAsia="Times New Roman" w:cs="Segoe UI"/>
                <w:color w:val="000000"/>
                <w:sz w:val="16"/>
                <w:szCs w:val="16"/>
                <w:lang w:val="en-GB" w:eastAsia="en-GB" w:bidi="ar-SA"/>
              </w:rPr>
              <w:t xml:space="preserve"> a good opportunity for the board to re-examine the steps they have taken and assess any potential shortfalls </w:t>
            </w:r>
            <w:r w:rsidR="00387550">
              <w:rPr>
                <w:rFonts w:eastAsia="Times New Roman" w:cs="Segoe UI"/>
                <w:color w:val="000000"/>
                <w:sz w:val="16"/>
                <w:szCs w:val="16"/>
                <w:lang w:val="en-GB" w:eastAsia="en-GB" w:bidi="ar-SA"/>
              </w:rPr>
              <w:t>to</w:t>
            </w:r>
            <w:r w:rsidRPr="004E0ACA">
              <w:rPr>
                <w:rFonts w:eastAsia="Times New Roman" w:cs="Segoe UI"/>
                <w:color w:val="000000"/>
                <w:sz w:val="16"/>
                <w:szCs w:val="16"/>
                <w:lang w:val="en-GB" w:eastAsia="en-GB" w:bidi="ar-SA"/>
              </w:rPr>
              <w:t xml:space="preserve"> improve controls </w:t>
            </w:r>
            <w:r w:rsidR="00387550">
              <w:rPr>
                <w:rFonts w:eastAsia="Times New Roman" w:cs="Segoe UI"/>
                <w:color w:val="000000"/>
                <w:sz w:val="16"/>
                <w:szCs w:val="16"/>
                <w:lang w:val="en-GB" w:eastAsia="en-GB" w:bidi="ar-SA"/>
              </w:rPr>
              <w:t>in future</w:t>
            </w:r>
            <w:r w:rsidRPr="004E0ACA">
              <w:rPr>
                <w:rFonts w:eastAsia="Times New Roman" w:cs="Segoe UI"/>
                <w:color w:val="000000"/>
                <w:sz w:val="16"/>
                <w:szCs w:val="16"/>
                <w:lang w:val="en-GB" w:eastAsia="en-GB" w:bidi="ar-SA"/>
              </w:rPr>
              <w:t>.</w:t>
            </w:r>
          </w:p>
        </w:tc>
      </w:tr>
      <w:tr w:rsidR="004E0ACA" w:rsidRPr="004E0ACA" w14:paraId="7BCB5685" w14:textId="77777777" w:rsidTr="00743761">
        <w:trPr>
          <w:cnfStyle w:val="000000100000" w:firstRow="0" w:lastRow="0" w:firstColumn="0" w:lastColumn="0" w:oddVBand="0" w:evenVBand="0" w:oddHBand="1" w:evenHBand="0" w:firstRowFirstColumn="0" w:firstRowLastColumn="0" w:lastRowFirstColumn="0" w:lastRowLastColumn="0"/>
          <w:trHeight w:val="665"/>
          <w:jc w:val="center"/>
        </w:trPr>
        <w:tc>
          <w:tcPr>
            <w:tcW w:w="0" w:type="auto"/>
            <w:hideMark/>
          </w:tcPr>
          <w:p w14:paraId="242D959B" w14:textId="77777777" w:rsidR="004E0ACA" w:rsidRPr="004E0ACA" w:rsidRDefault="004E0ACA" w:rsidP="004E0ACA">
            <w:pPr>
              <w:rPr>
                <w:rFonts w:eastAsia="Times New Roman" w:cs="Segoe UI"/>
                <w:b/>
                <w:bCs/>
                <w:color w:val="000000"/>
                <w:sz w:val="16"/>
                <w:szCs w:val="16"/>
                <w:lang w:val="en-GB" w:eastAsia="en-GB" w:bidi="ar-SA"/>
              </w:rPr>
            </w:pPr>
            <w:r w:rsidRPr="004E0ACA">
              <w:rPr>
                <w:rFonts w:eastAsia="Times New Roman" w:cs="Segoe UI"/>
                <w:b/>
                <w:bCs/>
                <w:color w:val="000000"/>
                <w:sz w:val="16"/>
                <w:szCs w:val="16"/>
                <w:lang w:val="en-GB" w:eastAsia="en-GB" w:bidi="ar-SA"/>
              </w:rPr>
              <w:t>Outcome of the vote</w:t>
            </w:r>
          </w:p>
        </w:tc>
        <w:tc>
          <w:tcPr>
            <w:tcW w:w="0" w:type="auto"/>
            <w:hideMark/>
          </w:tcPr>
          <w:p w14:paraId="03D129C3" w14:textId="6A31C512" w:rsidR="004E0ACA" w:rsidRPr="004E0ACA" w:rsidRDefault="00493B5C" w:rsidP="00743761">
            <w:pPr>
              <w:jc w:val="center"/>
              <w:rPr>
                <w:rFonts w:eastAsia="Times New Roman" w:cs="Segoe UI"/>
                <w:color w:val="000000"/>
                <w:sz w:val="16"/>
                <w:szCs w:val="16"/>
                <w:lang w:val="en-GB" w:eastAsia="en-GB" w:bidi="ar-SA"/>
              </w:rPr>
            </w:pPr>
            <w:r>
              <w:rPr>
                <w:rFonts w:eastAsia="Times New Roman" w:cs="Segoe UI"/>
                <w:color w:val="000000"/>
                <w:sz w:val="16"/>
                <w:szCs w:val="16"/>
                <w:lang w:val="en-GB" w:eastAsia="en-GB" w:bidi="ar-SA"/>
              </w:rPr>
              <w:t>Fail</w:t>
            </w:r>
            <w:r w:rsidR="004E0ACA" w:rsidRPr="004E0ACA">
              <w:rPr>
                <w:rFonts w:eastAsia="Times New Roman" w:cs="Segoe UI"/>
                <w:color w:val="000000"/>
                <w:sz w:val="16"/>
                <w:szCs w:val="16"/>
                <w:lang w:val="en-GB" w:eastAsia="en-GB" w:bidi="ar-SA"/>
              </w:rPr>
              <w:t xml:space="preserve"> (</w:t>
            </w:r>
            <w:r>
              <w:rPr>
                <w:rFonts w:eastAsia="Times New Roman" w:cs="Segoe UI"/>
                <w:color w:val="000000"/>
                <w:sz w:val="16"/>
                <w:szCs w:val="16"/>
                <w:lang w:val="en-GB" w:eastAsia="en-GB" w:bidi="ar-SA"/>
              </w:rPr>
              <w:t>96</w:t>
            </w:r>
            <w:r w:rsidR="004E0ACA" w:rsidRPr="004E0ACA">
              <w:rPr>
                <w:rFonts w:eastAsia="Times New Roman" w:cs="Segoe UI"/>
                <w:color w:val="000000"/>
                <w:sz w:val="16"/>
                <w:szCs w:val="16"/>
                <w:lang w:val="en-GB" w:eastAsia="en-GB" w:bidi="ar-SA"/>
              </w:rPr>
              <w:t xml:space="preserve">% voted </w:t>
            </w:r>
            <w:r>
              <w:rPr>
                <w:rFonts w:eastAsia="Times New Roman" w:cs="Segoe UI"/>
                <w:color w:val="000000"/>
                <w:sz w:val="16"/>
                <w:szCs w:val="16"/>
                <w:lang w:val="en-GB" w:eastAsia="en-GB" w:bidi="ar-SA"/>
              </w:rPr>
              <w:t>against</w:t>
            </w:r>
            <w:r w:rsidR="004E0ACA" w:rsidRPr="004E0ACA">
              <w:rPr>
                <w:rFonts w:eastAsia="Times New Roman" w:cs="Segoe UI"/>
                <w:color w:val="000000"/>
                <w:sz w:val="16"/>
                <w:szCs w:val="16"/>
                <w:lang w:val="en-GB" w:eastAsia="en-GB" w:bidi="ar-SA"/>
              </w:rPr>
              <w:t xml:space="preserve">). </w:t>
            </w:r>
          </w:p>
        </w:tc>
        <w:tc>
          <w:tcPr>
            <w:tcW w:w="2745" w:type="dxa"/>
            <w:hideMark/>
          </w:tcPr>
          <w:p w14:paraId="0A3BD823" w14:textId="788AF9CB" w:rsidR="004E0ACA" w:rsidRPr="004E0ACA" w:rsidRDefault="00493B5C" w:rsidP="00743761">
            <w:pPr>
              <w:jc w:val="center"/>
              <w:rPr>
                <w:rFonts w:eastAsia="Times New Roman" w:cs="Segoe UI"/>
                <w:color w:val="000000"/>
                <w:sz w:val="16"/>
                <w:szCs w:val="16"/>
                <w:lang w:val="en-GB" w:eastAsia="en-GB" w:bidi="ar-SA"/>
              </w:rPr>
            </w:pPr>
            <w:r>
              <w:rPr>
                <w:rFonts w:eastAsia="Times New Roman" w:cs="Segoe UI"/>
                <w:color w:val="000000"/>
                <w:sz w:val="16"/>
                <w:szCs w:val="16"/>
                <w:lang w:val="en-GB" w:eastAsia="en-GB" w:bidi="ar-SA"/>
              </w:rPr>
              <w:t>Pass (</w:t>
            </w:r>
            <w:r w:rsidR="004E0ACA" w:rsidRPr="004E0ACA">
              <w:rPr>
                <w:rFonts w:eastAsia="Times New Roman" w:cs="Segoe UI"/>
                <w:color w:val="000000"/>
                <w:sz w:val="16"/>
                <w:szCs w:val="16"/>
                <w:lang w:val="en-GB" w:eastAsia="en-GB" w:bidi="ar-SA"/>
              </w:rPr>
              <w:t>9</w:t>
            </w:r>
            <w:r>
              <w:rPr>
                <w:rFonts w:eastAsia="Times New Roman" w:cs="Segoe UI"/>
                <w:color w:val="000000"/>
                <w:sz w:val="16"/>
                <w:szCs w:val="16"/>
                <w:lang w:val="en-GB" w:eastAsia="en-GB" w:bidi="ar-SA"/>
              </w:rPr>
              <w:t>5</w:t>
            </w:r>
            <w:r w:rsidR="004E0ACA" w:rsidRPr="004E0ACA">
              <w:rPr>
                <w:rFonts w:eastAsia="Times New Roman" w:cs="Segoe UI"/>
                <w:color w:val="000000"/>
                <w:sz w:val="16"/>
                <w:szCs w:val="16"/>
                <w:lang w:val="en-GB" w:eastAsia="en-GB" w:bidi="ar-SA"/>
              </w:rPr>
              <w:t xml:space="preserve">% </w:t>
            </w:r>
            <w:r>
              <w:rPr>
                <w:rFonts w:eastAsia="Times New Roman" w:cs="Segoe UI"/>
                <w:color w:val="000000"/>
                <w:sz w:val="16"/>
                <w:szCs w:val="16"/>
                <w:lang w:val="en-GB" w:eastAsia="en-GB" w:bidi="ar-SA"/>
              </w:rPr>
              <w:t>voted for)</w:t>
            </w:r>
          </w:p>
        </w:tc>
        <w:tc>
          <w:tcPr>
            <w:tcW w:w="3062" w:type="dxa"/>
            <w:hideMark/>
          </w:tcPr>
          <w:p w14:paraId="34DF7654" w14:textId="069DD424" w:rsidR="004E0ACA" w:rsidRPr="004E0ACA" w:rsidRDefault="00493B5C" w:rsidP="00743761">
            <w:pPr>
              <w:jc w:val="center"/>
              <w:rPr>
                <w:rFonts w:eastAsia="Times New Roman" w:cs="Segoe UI"/>
                <w:color w:val="000000"/>
                <w:sz w:val="16"/>
                <w:szCs w:val="16"/>
                <w:lang w:val="en-GB" w:eastAsia="en-GB" w:bidi="ar-SA"/>
              </w:rPr>
            </w:pPr>
            <w:r>
              <w:rPr>
                <w:rFonts w:eastAsia="Times New Roman" w:cs="Segoe UI"/>
                <w:color w:val="000000"/>
                <w:sz w:val="16"/>
                <w:szCs w:val="16"/>
                <w:lang w:val="en-GB" w:eastAsia="en-GB" w:bidi="ar-SA"/>
              </w:rPr>
              <w:t>Fail (83% voted against)</w:t>
            </w:r>
          </w:p>
        </w:tc>
      </w:tr>
      <w:tr w:rsidR="004E0ACA" w:rsidRPr="004E0ACA" w14:paraId="79CF2041" w14:textId="77777777" w:rsidTr="00743761">
        <w:trPr>
          <w:cnfStyle w:val="000000010000" w:firstRow="0" w:lastRow="0" w:firstColumn="0" w:lastColumn="0" w:oddVBand="0" w:evenVBand="0" w:oddHBand="0" w:evenHBand="1" w:firstRowFirstColumn="0" w:firstRowLastColumn="0" w:lastRowFirstColumn="0" w:lastRowLastColumn="0"/>
          <w:trHeight w:val="855"/>
          <w:jc w:val="center"/>
        </w:trPr>
        <w:tc>
          <w:tcPr>
            <w:tcW w:w="0" w:type="auto"/>
            <w:hideMark/>
          </w:tcPr>
          <w:p w14:paraId="42C31CA2" w14:textId="77777777" w:rsidR="004E0ACA" w:rsidRPr="004E0ACA" w:rsidRDefault="004E0ACA" w:rsidP="004E0ACA">
            <w:pPr>
              <w:rPr>
                <w:rFonts w:eastAsia="Times New Roman" w:cs="Segoe UI"/>
                <w:b/>
                <w:bCs/>
                <w:color w:val="000000"/>
                <w:sz w:val="16"/>
                <w:szCs w:val="16"/>
                <w:lang w:val="en-GB" w:eastAsia="en-GB" w:bidi="ar-SA"/>
              </w:rPr>
            </w:pPr>
            <w:r w:rsidRPr="004E0ACA">
              <w:rPr>
                <w:rFonts w:eastAsia="Times New Roman" w:cs="Segoe UI"/>
                <w:b/>
                <w:bCs/>
                <w:color w:val="000000"/>
                <w:sz w:val="16"/>
                <w:szCs w:val="16"/>
                <w:lang w:val="en-GB" w:eastAsia="en-GB" w:bidi="ar-SA"/>
              </w:rPr>
              <w:t>Implications of the outcome</w:t>
            </w:r>
          </w:p>
        </w:tc>
        <w:tc>
          <w:tcPr>
            <w:tcW w:w="0" w:type="auto"/>
            <w:hideMark/>
          </w:tcPr>
          <w:p w14:paraId="522E577B" w14:textId="77777777" w:rsidR="004E0ACA" w:rsidRPr="004E0ACA" w:rsidRDefault="004E0ACA" w:rsidP="00743761">
            <w:pPr>
              <w:jc w:val="center"/>
              <w:rPr>
                <w:rFonts w:eastAsia="Times New Roman" w:cs="Segoe UI"/>
                <w:color w:val="000000"/>
                <w:sz w:val="16"/>
                <w:szCs w:val="16"/>
                <w:lang w:val="en-GB" w:eastAsia="en-GB" w:bidi="ar-SA"/>
              </w:rPr>
            </w:pPr>
            <w:r w:rsidRPr="004E0ACA">
              <w:rPr>
                <w:rFonts w:eastAsia="Times New Roman" w:cs="Segoe UI"/>
                <w:color w:val="000000"/>
                <w:sz w:val="16"/>
                <w:szCs w:val="16"/>
                <w:lang w:val="en-GB" w:eastAsia="en-GB" w:bidi="ar-SA"/>
              </w:rPr>
              <w:t>LGIM will continue to monitor this company.</w:t>
            </w:r>
          </w:p>
        </w:tc>
        <w:tc>
          <w:tcPr>
            <w:tcW w:w="2745" w:type="dxa"/>
            <w:hideMark/>
          </w:tcPr>
          <w:p w14:paraId="56DEE159" w14:textId="0221D75E" w:rsidR="004E0ACA" w:rsidRPr="004E0ACA" w:rsidRDefault="004E0ACA" w:rsidP="00743761">
            <w:pPr>
              <w:jc w:val="center"/>
              <w:rPr>
                <w:rFonts w:eastAsia="Times New Roman" w:cs="Segoe UI"/>
                <w:color w:val="000000"/>
                <w:sz w:val="16"/>
                <w:szCs w:val="16"/>
                <w:lang w:val="en-GB" w:eastAsia="en-GB" w:bidi="ar-SA"/>
              </w:rPr>
            </w:pPr>
            <w:r w:rsidRPr="004E0ACA">
              <w:rPr>
                <w:rFonts w:eastAsia="Times New Roman" w:cs="Segoe UI"/>
                <w:color w:val="000000"/>
                <w:sz w:val="16"/>
                <w:szCs w:val="16"/>
                <w:lang w:val="en-GB" w:eastAsia="en-GB" w:bidi="ar-SA"/>
              </w:rPr>
              <w:t>LGIM will continue to</w:t>
            </w:r>
            <w:r w:rsidR="00387550">
              <w:rPr>
                <w:rFonts w:eastAsia="Times New Roman" w:cs="Segoe UI"/>
                <w:color w:val="000000"/>
                <w:sz w:val="16"/>
                <w:szCs w:val="16"/>
                <w:lang w:val="en-GB" w:eastAsia="en-GB" w:bidi="ar-SA"/>
              </w:rPr>
              <w:t xml:space="preserve"> advocate for</w:t>
            </w:r>
            <w:r w:rsidRPr="004E0ACA">
              <w:rPr>
                <w:rFonts w:eastAsia="Times New Roman" w:cs="Segoe UI"/>
                <w:color w:val="000000"/>
                <w:sz w:val="16"/>
                <w:szCs w:val="16"/>
                <w:lang w:val="en-GB" w:eastAsia="en-GB" w:bidi="ar-SA"/>
              </w:rPr>
              <w:t xml:space="preserve"> increased diversity.</w:t>
            </w:r>
          </w:p>
        </w:tc>
        <w:tc>
          <w:tcPr>
            <w:tcW w:w="3062" w:type="dxa"/>
            <w:hideMark/>
          </w:tcPr>
          <w:p w14:paraId="3F78011A" w14:textId="77777777" w:rsidR="004E0ACA" w:rsidRPr="004E0ACA" w:rsidRDefault="004E0ACA" w:rsidP="00743761">
            <w:pPr>
              <w:jc w:val="center"/>
              <w:rPr>
                <w:rFonts w:eastAsia="Times New Roman" w:cs="Segoe UI"/>
                <w:color w:val="000000"/>
                <w:sz w:val="16"/>
                <w:szCs w:val="16"/>
                <w:lang w:val="en-GB" w:eastAsia="en-GB" w:bidi="ar-SA"/>
              </w:rPr>
            </w:pPr>
            <w:r w:rsidRPr="004E0ACA">
              <w:rPr>
                <w:rFonts w:eastAsia="Times New Roman" w:cs="Segoe UI"/>
                <w:color w:val="000000"/>
                <w:sz w:val="16"/>
                <w:szCs w:val="16"/>
                <w:lang w:val="en-GB" w:eastAsia="en-GB" w:bidi="ar-SA"/>
              </w:rPr>
              <w:t>LGIM will continue to monitor the company.</w:t>
            </w:r>
          </w:p>
        </w:tc>
      </w:tr>
      <w:tr w:rsidR="004E0ACA" w:rsidRPr="004E0ACA" w14:paraId="7DF4EAE7" w14:textId="77777777" w:rsidTr="00743761">
        <w:trPr>
          <w:cnfStyle w:val="000000100000" w:firstRow="0" w:lastRow="0" w:firstColumn="0" w:lastColumn="0" w:oddVBand="0" w:evenVBand="0" w:oddHBand="1" w:evenHBand="0" w:firstRowFirstColumn="0" w:firstRowLastColumn="0" w:lastRowFirstColumn="0" w:lastRowLastColumn="0"/>
          <w:trHeight w:val="840"/>
          <w:jc w:val="center"/>
        </w:trPr>
        <w:tc>
          <w:tcPr>
            <w:tcW w:w="0" w:type="auto"/>
            <w:hideMark/>
          </w:tcPr>
          <w:p w14:paraId="1A154757" w14:textId="77777777" w:rsidR="004E0ACA" w:rsidRPr="004E0ACA" w:rsidRDefault="004E0ACA" w:rsidP="004E0ACA">
            <w:pPr>
              <w:rPr>
                <w:rFonts w:eastAsia="Times New Roman" w:cs="Segoe UI"/>
                <w:b/>
                <w:bCs/>
                <w:color w:val="000000"/>
                <w:sz w:val="16"/>
                <w:szCs w:val="16"/>
                <w:lang w:val="en-GB" w:eastAsia="en-GB" w:bidi="ar-SA"/>
              </w:rPr>
            </w:pPr>
            <w:r w:rsidRPr="004E0ACA">
              <w:rPr>
                <w:rFonts w:eastAsia="Times New Roman" w:cs="Segoe UI"/>
                <w:b/>
                <w:bCs/>
                <w:color w:val="000000"/>
                <w:sz w:val="16"/>
                <w:szCs w:val="16"/>
                <w:lang w:val="en-GB" w:eastAsia="en-GB" w:bidi="ar-SA"/>
              </w:rPr>
              <w:t xml:space="preserve">Criteria on which the vote is considered “significant” </w:t>
            </w:r>
          </w:p>
        </w:tc>
        <w:tc>
          <w:tcPr>
            <w:tcW w:w="0" w:type="auto"/>
            <w:hideMark/>
          </w:tcPr>
          <w:p w14:paraId="3D5E9379" w14:textId="77777777" w:rsidR="004E0ACA" w:rsidRPr="004E0ACA" w:rsidRDefault="004E0ACA" w:rsidP="00743761">
            <w:pPr>
              <w:jc w:val="center"/>
              <w:rPr>
                <w:rFonts w:eastAsia="Times New Roman" w:cs="Segoe UI"/>
                <w:color w:val="000000"/>
                <w:sz w:val="16"/>
                <w:szCs w:val="16"/>
                <w:lang w:val="en-GB" w:eastAsia="en-GB" w:bidi="ar-SA"/>
              </w:rPr>
            </w:pPr>
            <w:r w:rsidRPr="004E0ACA">
              <w:rPr>
                <w:rFonts w:eastAsia="Times New Roman" w:cs="Segoe UI"/>
                <w:color w:val="000000"/>
                <w:sz w:val="16"/>
                <w:szCs w:val="16"/>
                <w:lang w:val="en-GB" w:eastAsia="en-GB" w:bidi="ar-SA"/>
              </w:rPr>
              <w:t>The vote received media scrutiny and is emblematic of a growing wave of green shareholder activism.</w:t>
            </w:r>
          </w:p>
        </w:tc>
        <w:tc>
          <w:tcPr>
            <w:tcW w:w="2745" w:type="dxa"/>
            <w:hideMark/>
          </w:tcPr>
          <w:p w14:paraId="704C4BA4" w14:textId="7F309DBA" w:rsidR="004E0ACA" w:rsidRPr="004E0ACA" w:rsidRDefault="004E0ACA" w:rsidP="00743761">
            <w:pPr>
              <w:jc w:val="center"/>
              <w:rPr>
                <w:rFonts w:eastAsia="Times New Roman" w:cs="Segoe UI"/>
                <w:color w:val="000000"/>
                <w:sz w:val="16"/>
                <w:szCs w:val="16"/>
                <w:lang w:val="en-GB" w:eastAsia="en-GB" w:bidi="ar-SA"/>
              </w:rPr>
            </w:pPr>
            <w:r w:rsidRPr="004E0ACA">
              <w:rPr>
                <w:rFonts w:eastAsia="Times New Roman" w:cs="Segoe UI"/>
                <w:color w:val="000000"/>
                <w:sz w:val="16"/>
                <w:szCs w:val="16"/>
                <w:lang w:val="en-GB" w:eastAsia="en-GB" w:bidi="ar-SA"/>
              </w:rPr>
              <w:t>LGIM considers it imperative that the boards of Japanese companies increase their diversity.</w:t>
            </w:r>
          </w:p>
        </w:tc>
        <w:tc>
          <w:tcPr>
            <w:tcW w:w="3062" w:type="dxa"/>
            <w:hideMark/>
          </w:tcPr>
          <w:p w14:paraId="39FEC5BE" w14:textId="77777777" w:rsidR="004E0ACA" w:rsidRPr="004E0ACA" w:rsidRDefault="004E0ACA" w:rsidP="00743761">
            <w:pPr>
              <w:jc w:val="center"/>
              <w:rPr>
                <w:rFonts w:eastAsia="Times New Roman" w:cs="Segoe UI"/>
                <w:color w:val="000000"/>
                <w:sz w:val="16"/>
                <w:szCs w:val="16"/>
                <w:lang w:val="en-GB" w:eastAsia="en-GB" w:bidi="ar-SA"/>
              </w:rPr>
            </w:pPr>
            <w:r w:rsidRPr="004E0ACA">
              <w:rPr>
                <w:rFonts w:eastAsia="Times New Roman" w:cs="Segoe UI"/>
                <w:color w:val="000000"/>
                <w:sz w:val="16"/>
                <w:szCs w:val="16"/>
                <w:lang w:val="en-GB" w:eastAsia="en-GB" w:bidi="ar-SA"/>
              </w:rPr>
              <w:t>LGIM's clients were particularly interested in the outcome of this vote.</w:t>
            </w:r>
          </w:p>
        </w:tc>
      </w:tr>
    </w:tbl>
    <w:p w14:paraId="1BBD0FF8" w14:textId="1004703C" w:rsidR="001D606F" w:rsidRDefault="001D606F" w:rsidP="00BD7CCD">
      <w:pPr>
        <w:pStyle w:val="Heading2"/>
      </w:pPr>
      <w:r>
        <w:lastRenderedPageBreak/>
        <w:t>Fund level engagement</w:t>
      </w:r>
    </w:p>
    <w:p w14:paraId="3D7C491F" w14:textId="071FE3C2" w:rsidR="00FB4872" w:rsidRDefault="002D6733" w:rsidP="00493B5C">
      <w:pPr>
        <w:pStyle w:val="BodyText"/>
      </w:pPr>
      <w:r>
        <w:t xml:space="preserve">The investment managers may engage with their investee companies on behalf of the Trustee. </w:t>
      </w:r>
      <w:r w:rsidR="00BD7CCD">
        <w:t xml:space="preserve"> </w:t>
      </w:r>
      <w:r w:rsidR="00FB4872">
        <w:t xml:space="preserve">Whilst the Scheme’s credit holdings do not attach any voting rights, the Trustee focuses on how the investment process of the managers is aligned with the Scheme’s ESG policies. </w:t>
      </w:r>
    </w:p>
    <w:p w14:paraId="3F6BDB49" w14:textId="4CA4C3A1" w:rsidR="00F37C6C" w:rsidRDefault="00BD7CCD">
      <w:pPr>
        <w:pStyle w:val="BodyText"/>
      </w:pPr>
      <w:r w:rsidRPr="00E12201">
        <w:t xml:space="preserve">The tables below provides a summary of the engagement activity undertaken by </w:t>
      </w:r>
      <w:r w:rsidR="00FB4872">
        <w:t>ASI, LGIM and Janus Henderson Investors (“Janus Henderson”)</w:t>
      </w:r>
      <w:r w:rsidR="00FB4872" w:rsidRPr="00E12201">
        <w:t xml:space="preserve"> </w:t>
      </w:r>
      <w:r w:rsidRPr="00E12201">
        <w:t>during the year</w:t>
      </w:r>
      <w:r w:rsidR="001E4663">
        <w:t xml:space="preserve"> to 31 March 2021</w:t>
      </w:r>
      <w:r w:rsidRPr="00E12201">
        <w:t>.</w:t>
      </w:r>
    </w:p>
    <w:tbl>
      <w:tblPr>
        <w:tblStyle w:val="bwTable"/>
        <w:tblW w:w="0" w:type="auto"/>
        <w:tblLook w:val="04A0" w:firstRow="1" w:lastRow="0" w:firstColumn="1" w:lastColumn="0" w:noHBand="0" w:noVBand="1"/>
      </w:tblPr>
      <w:tblGrid>
        <w:gridCol w:w="2835"/>
        <w:gridCol w:w="2268"/>
        <w:gridCol w:w="2268"/>
        <w:gridCol w:w="2268"/>
      </w:tblGrid>
      <w:tr w:rsidR="00440CC2" w:rsidRPr="007F4127" w14:paraId="0C16E697" w14:textId="77777777" w:rsidTr="00BD7CCD">
        <w:trPr>
          <w:cnfStyle w:val="100000000000" w:firstRow="1" w:lastRow="0" w:firstColumn="0" w:lastColumn="0" w:oddVBand="0" w:evenVBand="0" w:oddHBand="0" w:evenHBand="0" w:firstRowFirstColumn="0" w:firstRowLastColumn="0" w:lastRowFirstColumn="0" w:lastRowLastColumn="0"/>
          <w:tblHeader/>
        </w:trPr>
        <w:tc>
          <w:tcPr>
            <w:tcW w:w="2835" w:type="dxa"/>
          </w:tcPr>
          <w:p w14:paraId="10F693E7" w14:textId="77777777" w:rsidR="00440CC2" w:rsidRPr="007F4127" w:rsidRDefault="00440CC2" w:rsidP="00493B5C">
            <w:pPr>
              <w:pStyle w:val="BodyText"/>
              <w:spacing w:after="0"/>
              <w:jc w:val="left"/>
              <w:rPr>
                <w:b/>
                <w:sz w:val="16"/>
              </w:rPr>
            </w:pPr>
            <w:r w:rsidRPr="007F4127">
              <w:rPr>
                <w:b/>
                <w:sz w:val="16"/>
              </w:rPr>
              <w:t>Manager</w:t>
            </w:r>
          </w:p>
        </w:tc>
        <w:tc>
          <w:tcPr>
            <w:tcW w:w="2268" w:type="dxa"/>
          </w:tcPr>
          <w:p w14:paraId="5E94C74E" w14:textId="1C187BA0" w:rsidR="00440CC2" w:rsidRPr="007F4127" w:rsidRDefault="00440CC2" w:rsidP="00493B5C">
            <w:pPr>
              <w:pStyle w:val="BodyText"/>
              <w:spacing w:after="0"/>
              <w:jc w:val="center"/>
              <w:rPr>
                <w:b/>
                <w:sz w:val="16"/>
              </w:rPr>
            </w:pPr>
            <w:r>
              <w:rPr>
                <w:b/>
                <w:sz w:val="16"/>
              </w:rPr>
              <w:t>ASI</w:t>
            </w:r>
          </w:p>
        </w:tc>
        <w:tc>
          <w:tcPr>
            <w:tcW w:w="2268" w:type="dxa"/>
          </w:tcPr>
          <w:p w14:paraId="0CAED2A1" w14:textId="1EDEB6BA" w:rsidR="00440CC2" w:rsidRPr="007F4127" w:rsidRDefault="00440CC2" w:rsidP="00493B5C">
            <w:pPr>
              <w:pStyle w:val="BodyText"/>
              <w:spacing w:after="0"/>
              <w:jc w:val="center"/>
              <w:rPr>
                <w:b/>
                <w:sz w:val="16"/>
              </w:rPr>
            </w:pPr>
            <w:r>
              <w:rPr>
                <w:b/>
                <w:sz w:val="16"/>
              </w:rPr>
              <w:t>LGIM</w:t>
            </w:r>
          </w:p>
        </w:tc>
        <w:tc>
          <w:tcPr>
            <w:tcW w:w="2268" w:type="dxa"/>
          </w:tcPr>
          <w:p w14:paraId="29D3356B" w14:textId="3E20A51A" w:rsidR="00440CC2" w:rsidRPr="007F4127" w:rsidRDefault="00440CC2" w:rsidP="00493B5C">
            <w:pPr>
              <w:pStyle w:val="BodyText"/>
              <w:spacing w:after="0"/>
              <w:jc w:val="center"/>
              <w:rPr>
                <w:b/>
                <w:sz w:val="16"/>
              </w:rPr>
            </w:pPr>
            <w:r>
              <w:rPr>
                <w:b/>
                <w:sz w:val="16"/>
              </w:rPr>
              <w:t>Janus Henderson</w:t>
            </w:r>
          </w:p>
        </w:tc>
      </w:tr>
      <w:tr w:rsidR="002D6733" w:rsidRPr="007F4127" w14:paraId="60AD1B09" w14:textId="77777777" w:rsidTr="00BD7CCD">
        <w:trPr>
          <w:cnfStyle w:val="000000100000" w:firstRow="0" w:lastRow="0" w:firstColumn="0" w:lastColumn="0" w:oddVBand="0" w:evenVBand="0" w:oddHBand="1" w:evenHBand="0" w:firstRowFirstColumn="0" w:firstRowLastColumn="0" w:lastRowFirstColumn="0" w:lastRowLastColumn="0"/>
        </w:trPr>
        <w:tc>
          <w:tcPr>
            <w:tcW w:w="2835" w:type="dxa"/>
          </w:tcPr>
          <w:p w14:paraId="190AB7D9" w14:textId="52B9CA38" w:rsidR="002D6733" w:rsidRDefault="002D6733" w:rsidP="001919F9">
            <w:pPr>
              <w:pStyle w:val="BodyText"/>
              <w:spacing w:after="0"/>
              <w:jc w:val="left"/>
              <w:rPr>
                <w:b/>
                <w:sz w:val="16"/>
              </w:rPr>
            </w:pPr>
            <w:r>
              <w:rPr>
                <w:b/>
                <w:sz w:val="16"/>
              </w:rPr>
              <w:t>Applicable fund(s)</w:t>
            </w:r>
          </w:p>
        </w:tc>
        <w:tc>
          <w:tcPr>
            <w:tcW w:w="2268" w:type="dxa"/>
          </w:tcPr>
          <w:p w14:paraId="4B3BB5DB" w14:textId="0D02742F" w:rsidR="002D6733" w:rsidRDefault="00754D05" w:rsidP="001D606F">
            <w:pPr>
              <w:pStyle w:val="BodyText"/>
              <w:spacing w:after="0"/>
              <w:jc w:val="center"/>
              <w:rPr>
                <w:sz w:val="16"/>
              </w:rPr>
            </w:pPr>
            <w:r w:rsidRPr="00754D05">
              <w:rPr>
                <w:sz w:val="16"/>
              </w:rPr>
              <w:t>Aberdeen Life Diversified Growth Fund</w:t>
            </w:r>
            <w:r>
              <w:rPr>
                <w:sz w:val="16"/>
              </w:rPr>
              <w:t xml:space="preserve"> , </w:t>
            </w:r>
            <w:r w:rsidRPr="00754D05">
              <w:rPr>
                <w:sz w:val="16"/>
              </w:rPr>
              <w:t>Aberdeen Life and Pensions UK Property Fund</w:t>
            </w:r>
            <w:r>
              <w:rPr>
                <w:sz w:val="16"/>
              </w:rPr>
              <w:t>, Cash Fund</w:t>
            </w:r>
          </w:p>
        </w:tc>
        <w:tc>
          <w:tcPr>
            <w:tcW w:w="2268" w:type="dxa"/>
          </w:tcPr>
          <w:p w14:paraId="4CBC6AF9" w14:textId="508467E2" w:rsidR="002D6733" w:rsidRDefault="00754D05" w:rsidP="00493B5C">
            <w:pPr>
              <w:pStyle w:val="BodyText"/>
              <w:spacing w:after="0"/>
              <w:jc w:val="center"/>
              <w:rPr>
                <w:sz w:val="16"/>
              </w:rPr>
            </w:pPr>
            <w:r w:rsidRPr="00754D05">
              <w:rPr>
                <w:sz w:val="16"/>
              </w:rPr>
              <w:t>World Equity Index (MSCI)</w:t>
            </w:r>
            <w:r>
              <w:rPr>
                <w:sz w:val="16"/>
              </w:rPr>
              <w:t xml:space="preserve">, Gilt Funds, LDI, Sterling Liquidity Fund </w:t>
            </w:r>
          </w:p>
        </w:tc>
        <w:tc>
          <w:tcPr>
            <w:tcW w:w="2268" w:type="dxa"/>
          </w:tcPr>
          <w:p w14:paraId="7360B92E" w14:textId="1567B866" w:rsidR="002D6733" w:rsidRDefault="00754D05" w:rsidP="00493B5C">
            <w:pPr>
              <w:pStyle w:val="BodyText"/>
              <w:spacing w:after="0"/>
              <w:jc w:val="center"/>
              <w:rPr>
                <w:sz w:val="16"/>
              </w:rPr>
            </w:pPr>
            <w:r w:rsidRPr="00754D05">
              <w:rPr>
                <w:sz w:val="16"/>
              </w:rPr>
              <w:t>Multi Asset Credit Fund</w:t>
            </w:r>
          </w:p>
        </w:tc>
      </w:tr>
      <w:tr w:rsidR="00440CC2" w:rsidRPr="007F4127" w14:paraId="07E7DA08" w14:textId="77777777" w:rsidTr="00BD7CCD">
        <w:trPr>
          <w:cnfStyle w:val="000000010000" w:firstRow="0" w:lastRow="0" w:firstColumn="0" w:lastColumn="0" w:oddVBand="0" w:evenVBand="0" w:oddHBand="0" w:evenHBand="1" w:firstRowFirstColumn="0" w:firstRowLastColumn="0" w:lastRowFirstColumn="0" w:lastRowLastColumn="0"/>
        </w:trPr>
        <w:tc>
          <w:tcPr>
            <w:tcW w:w="2835" w:type="dxa"/>
          </w:tcPr>
          <w:p w14:paraId="0D989F17" w14:textId="636D0E1C" w:rsidR="00440CC2" w:rsidRPr="007F4127" w:rsidRDefault="00440CC2" w:rsidP="001919F9">
            <w:pPr>
              <w:pStyle w:val="BodyText"/>
              <w:spacing w:after="0"/>
              <w:jc w:val="left"/>
              <w:rPr>
                <w:b/>
                <w:sz w:val="16"/>
              </w:rPr>
            </w:pPr>
            <w:r>
              <w:rPr>
                <w:b/>
                <w:sz w:val="16"/>
              </w:rPr>
              <w:t>Does the manager perform engagement on behalf of  the holdings of the fund</w:t>
            </w:r>
          </w:p>
        </w:tc>
        <w:tc>
          <w:tcPr>
            <w:tcW w:w="2268" w:type="dxa"/>
          </w:tcPr>
          <w:p w14:paraId="331BDD25" w14:textId="3F5C8E81" w:rsidR="00440CC2" w:rsidRPr="00387550" w:rsidRDefault="00440CC2" w:rsidP="001D606F">
            <w:pPr>
              <w:pStyle w:val="BodyText"/>
              <w:spacing w:after="0"/>
              <w:jc w:val="center"/>
              <w:rPr>
                <w:sz w:val="16"/>
              </w:rPr>
            </w:pPr>
            <w:r w:rsidRPr="00387550">
              <w:rPr>
                <w:sz w:val="16"/>
              </w:rPr>
              <w:t>Yes</w:t>
            </w:r>
          </w:p>
        </w:tc>
        <w:tc>
          <w:tcPr>
            <w:tcW w:w="2268" w:type="dxa"/>
          </w:tcPr>
          <w:p w14:paraId="4EFF993A" w14:textId="4D6A13CD" w:rsidR="00440CC2" w:rsidRPr="00387550" w:rsidRDefault="00440CC2" w:rsidP="00493B5C">
            <w:pPr>
              <w:pStyle w:val="BodyText"/>
              <w:spacing w:after="0"/>
              <w:jc w:val="center"/>
              <w:rPr>
                <w:sz w:val="16"/>
              </w:rPr>
            </w:pPr>
            <w:r w:rsidRPr="00387550">
              <w:rPr>
                <w:sz w:val="16"/>
              </w:rPr>
              <w:t>Yes</w:t>
            </w:r>
          </w:p>
        </w:tc>
        <w:tc>
          <w:tcPr>
            <w:tcW w:w="2268" w:type="dxa"/>
          </w:tcPr>
          <w:p w14:paraId="3EA6162B" w14:textId="14D1436E" w:rsidR="00440CC2" w:rsidRPr="00387550" w:rsidRDefault="00440CC2" w:rsidP="00493B5C">
            <w:pPr>
              <w:pStyle w:val="BodyText"/>
              <w:spacing w:after="0"/>
              <w:jc w:val="center"/>
              <w:rPr>
                <w:sz w:val="16"/>
              </w:rPr>
            </w:pPr>
            <w:r w:rsidRPr="00387550">
              <w:rPr>
                <w:sz w:val="16"/>
              </w:rPr>
              <w:t>Yes</w:t>
            </w:r>
          </w:p>
        </w:tc>
      </w:tr>
      <w:tr w:rsidR="00440CC2" w:rsidRPr="007F4127" w14:paraId="4BE70E59" w14:textId="77777777" w:rsidTr="00BD7CCD">
        <w:trPr>
          <w:cnfStyle w:val="000000100000" w:firstRow="0" w:lastRow="0" w:firstColumn="0" w:lastColumn="0" w:oddVBand="0" w:evenVBand="0" w:oddHBand="1" w:evenHBand="0" w:firstRowFirstColumn="0" w:firstRowLastColumn="0" w:lastRowFirstColumn="0" w:lastRowLastColumn="0"/>
        </w:trPr>
        <w:tc>
          <w:tcPr>
            <w:tcW w:w="2835" w:type="dxa"/>
          </w:tcPr>
          <w:p w14:paraId="57ED2405" w14:textId="5EEB8128" w:rsidR="00440CC2" w:rsidRDefault="00440CC2" w:rsidP="001919F9">
            <w:pPr>
              <w:pStyle w:val="BodyText"/>
              <w:spacing w:after="0"/>
              <w:jc w:val="left"/>
              <w:rPr>
                <w:b/>
                <w:sz w:val="16"/>
              </w:rPr>
            </w:pPr>
            <w:r>
              <w:rPr>
                <w:b/>
                <w:sz w:val="16"/>
              </w:rPr>
              <w:t>Has the manager engaged with companies to influence them in relation to ESG factors in the year?</w:t>
            </w:r>
          </w:p>
        </w:tc>
        <w:tc>
          <w:tcPr>
            <w:tcW w:w="2268" w:type="dxa"/>
          </w:tcPr>
          <w:p w14:paraId="3F8BA5DD" w14:textId="7BABE8FB" w:rsidR="00440CC2" w:rsidRPr="00387550" w:rsidRDefault="00440CC2" w:rsidP="001D606F">
            <w:pPr>
              <w:pStyle w:val="BodyText"/>
              <w:spacing w:after="0"/>
              <w:jc w:val="center"/>
              <w:rPr>
                <w:sz w:val="16"/>
              </w:rPr>
            </w:pPr>
            <w:r w:rsidRPr="00387550">
              <w:rPr>
                <w:sz w:val="16"/>
              </w:rPr>
              <w:t>Yes</w:t>
            </w:r>
          </w:p>
        </w:tc>
        <w:tc>
          <w:tcPr>
            <w:tcW w:w="2268" w:type="dxa"/>
          </w:tcPr>
          <w:p w14:paraId="6B66E527" w14:textId="5202CB24" w:rsidR="00440CC2" w:rsidRPr="00387550" w:rsidRDefault="00440CC2" w:rsidP="00493B5C">
            <w:pPr>
              <w:pStyle w:val="BodyText"/>
              <w:spacing w:after="0"/>
              <w:jc w:val="center"/>
              <w:rPr>
                <w:sz w:val="16"/>
              </w:rPr>
            </w:pPr>
            <w:r w:rsidRPr="00387550">
              <w:rPr>
                <w:sz w:val="16"/>
              </w:rPr>
              <w:t>Yes</w:t>
            </w:r>
          </w:p>
        </w:tc>
        <w:tc>
          <w:tcPr>
            <w:tcW w:w="2268" w:type="dxa"/>
          </w:tcPr>
          <w:p w14:paraId="6571E926" w14:textId="5F5F6409" w:rsidR="00440CC2" w:rsidRPr="00387550" w:rsidRDefault="00440CC2" w:rsidP="00493B5C">
            <w:pPr>
              <w:pStyle w:val="BodyText"/>
              <w:spacing w:after="0"/>
              <w:jc w:val="center"/>
              <w:rPr>
                <w:sz w:val="16"/>
              </w:rPr>
            </w:pPr>
            <w:r w:rsidRPr="00387550">
              <w:rPr>
                <w:sz w:val="16"/>
              </w:rPr>
              <w:t>Yes</w:t>
            </w:r>
          </w:p>
        </w:tc>
      </w:tr>
      <w:tr w:rsidR="00FB4872" w:rsidRPr="007F4127" w14:paraId="623AD673" w14:textId="77777777" w:rsidTr="00BD7CCD">
        <w:trPr>
          <w:cnfStyle w:val="000000010000" w:firstRow="0" w:lastRow="0" w:firstColumn="0" w:lastColumn="0" w:oddVBand="0" w:evenVBand="0" w:oddHBand="0" w:evenHBand="1" w:firstRowFirstColumn="0" w:firstRowLastColumn="0" w:lastRowFirstColumn="0" w:lastRowLastColumn="0"/>
        </w:trPr>
        <w:tc>
          <w:tcPr>
            <w:tcW w:w="2835" w:type="dxa"/>
          </w:tcPr>
          <w:p w14:paraId="40C44B16" w14:textId="7F4DE732" w:rsidR="00FB4872" w:rsidRDefault="00FB4872" w:rsidP="00FB4872">
            <w:pPr>
              <w:pStyle w:val="BodyText"/>
              <w:spacing w:after="0"/>
              <w:jc w:val="left"/>
              <w:rPr>
                <w:b/>
                <w:sz w:val="16"/>
              </w:rPr>
            </w:pPr>
            <w:r>
              <w:rPr>
                <w:b/>
                <w:sz w:val="16"/>
              </w:rPr>
              <w:t xml:space="preserve">Number of company </w:t>
            </w:r>
            <w:r w:rsidRPr="001D606F">
              <w:rPr>
                <w:b/>
                <w:sz w:val="16"/>
              </w:rPr>
              <w:t>engagements underta</w:t>
            </w:r>
            <w:r>
              <w:rPr>
                <w:b/>
                <w:sz w:val="16"/>
              </w:rPr>
              <w:t>ken at a fund level in the year</w:t>
            </w:r>
          </w:p>
        </w:tc>
        <w:tc>
          <w:tcPr>
            <w:tcW w:w="2268" w:type="dxa"/>
          </w:tcPr>
          <w:p w14:paraId="458174A4" w14:textId="6AAB5D27" w:rsidR="00FB4872" w:rsidRPr="00693791" w:rsidRDefault="00FB4872" w:rsidP="00FB4872">
            <w:pPr>
              <w:pStyle w:val="BodyText"/>
              <w:spacing w:after="0"/>
              <w:jc w:val="center"/>
              <w:rPr>
                <w:sz w:val="16"/>
              </w:rPr>
            </w:pPr>
            <w:r w:rsidRPr="00693791">
              <w:rPr>
                <w:sz w:val="16"/>
              </w:rPr>
              <w:t>Not provided</w:t>
            </w:r>
          </w:p>
        </w:tc>
        <w:tc>
          <w:tcPr>
            <w:tcW w:w="2268" w:type="dxa"/>
          </w:tcPr>
          <w:p w14:paraId="126495C4" w14:textId="4B2181E6" w:rsidR="00FB4872" w:rsidRPr="00A32DCC" w:rsidRDefault="00FB4872" w:rsidP="00FB4872">
            <w:pPr>
              <w:pStyle w:val="BodyText"/>
              <w:spacing w:after="0"/>
              <w:jc w:val="center"/>
              <w:rPr>
                <w:sz w:val="16"/>
              </w:rPr>
            </w:pPr>
            <w:r w:rsidRPr="00A32DCC">
              <w:rPr>
                <w:sz w:val="16"/>
              </w:rPr>
              <w:t>Not provided</w:t>
            </w:r>
          </w:p>
        </w:tc>
        <w:tc>
          <w:tcPr>
            <w:tcW w:w="2268" w:type="dxa"/>
          </w:tcPr>
          <w:p w14:paraId="37D2400B" w14:textId="5F814180" w:rsidR="00FB4872" w:rsidRPr="00693791" w:rsidRDefault="00FB4872" w:rsidP="00FB4872">
            <w:pPr>
              <w:pStyle w:val="BodyText"/>
              <w:spacing w:after="0"/>
              <w:jc w:val="center"/>
              <w:rPr>
                <w:sz w:val="16"/>
              </w:rPr>
            </w:pPr>
            <w:r w:rsidRPr="00693791">
              <w:rPr>
                <w:sz w:val="16"/>
              </w:rPr>
              <w:t>106</w:t>
            </w:r>
          </w:p>
        </w:tc>
      </w:tr>
      <w:tr w:rsidR="00FB4872" w:rsidRPr="007F4127" w14:paraId="7B96E620" w14:textId="77777777" w:rsidTr="00BD7CCD">
        <w:trPr>
          <w:cnfStyle w:val="000000100000" w:firstRow="0" w:lastRow="0" w:firstColumn="0" w:lastColumn="0" w:oddVBand="0" w:evenVBand="0" w:oddHBand="1" w:evenHBand="0" w:firstRowFirstColumn="0" w:firstRowLastColumn="0" w:lastRowFirstColumn="0" w:lastRowLastColumn="0"/>
        </w:trPr>
        <w:tc>
          <w:tcPr>
            <w:tcW w:w="2835" w:type="dxa"/>
          </w:tcPr>
          <w:p w14:paraId="608F6036" w14:textId="6234EF47" w:rsidR="00FB4872" w:rsidRDefault="00FB4872" w:rsidP="00FB4872">
            <w:pPr>
              <w:pStyle w:val="BodyText"/>
              <w:spacing w:after="0"/>
              <w:jc w:val="left"/>
              <w:rPr>
                <w:b/>
                <w:sz w:val="16"/>
              </w:rPr>
            </w:pPr>
            <w:r>
              <w:rPr>
                <w:b/>
                <w:sz w:val="16"/>
              </w:rPr>
              <w:t xml:space="preserve">Number of company </w:t>
            </w:r>
            <w:r w:rsidRPr="001D606F">
              <w:rPr>
                <w:b/>
                <w:sz w:val="16"/>
              </w:rPr>
              <w:t>engagements underta</w:t>
            </w:r>
            <w:r>
              <w:rPr>
                <w:b/>
                <w:sz w:val="16"/>
              </w:rPr>
              <w:t>ken at a firm level in the year</w:t>
            </w:r>
          </w:p>
        </w:tc>
        <w:tc>
          <w:tcPr>
            <w:tcW w:w="2268" w:type="dxa"/>
          </w:tcPr>
          <w:p w14:paraId="776ADB92" w14:textId="23CC5940" w:rsidR="00FB4872" w:rsidRPr="00693791" w:rsidRDefault="00FB4872" w:rsidP="00FB4872">
            <w:pPr>
              <w:pStyle w:val="BodyText"/>
              <w:spacing w:after="0"/>
              <w:jc w:val="center"/>
              <w:rPr>
                <w:sz w:val="16"/>
              </w:rPr>
            </w:pPr>
            <w:r w:rsidRPr="00693791">
              <w:rPr>
                <w:sz w:val="16"/>
              </w:rPr>
              <w:t>2,271</w:t>
            </w:r>
          </w:p>
        </w:tc>
        <w:tc>
          <w:tcPr>
            <w:tcW w:w="2268" w:type="dxa"/>
          </w:tcPr>
          <w:p w14:paraId="597655B7" w14:textId="7188B9A6" w:rsidR="00FB4872" w:rsidRPr="00A32DCC" w:rsidRDefault="00FB4872" w:rsidP="00FB4872">
            <w:pPr>
              <w:pStyle w:val="BodyText"/>
              <w:spacing w:after="0"/>
              <w:jc w:val="center"/>
              <w:rPr>
                <w:sz w:val="16"/>
              </w:rPr>
            </w:pPr>
            <w:r w:rsidRPr="00A32DCC">
              <w:rPr>
                <w:sz w:val="16"/>
              </w:rPr>
              <w:t>874</w:t>
            </w:r>
          </w:p>
        </w:tc>
        <w:tc>
          <w:tcPr>
            <w:tcW w:w="2268" w:type="dxa"/>
          </w:tcPr>
          <w:p w14:paraId="2BC33A0E" w14:textId="2547077F" w:rsidR="00FB4872" w:rsidRPr="00693791" w:rsidRDefault="00FB4872" w:rsidP="00FB4872">
            <w:pPr>
              <w:pStyle w:val="BodyText"/>
              <w:spacing w:after="0"/>
              <w:jc w:val="center"/>
              <w:rPr>
                <w:sz w:val="16"/>
              </w:rPr>
            </w:pPr>
            <w:r w:rsidRPr="00693791">
              <w:rPr>
                <w:sz w:val="16"/>
              </w:rPr>
              <w:t>776</w:t>
            </w:r>
          </w:p>
        </w:tc>
      </w:tr>
    </w:tbl>
    <w:p w14:paraId="0F2FCF94" w14:textId="77777777" w:rsidR="00F37C6C" w:rsidRDefault="00F37C6C" w:rsidP="00743761">
      <w:pPr>
        <w:pStyle w:val="BodyText"/>
      </w:pPr>
    </w:p>
    <w:tbl>
      <w:tblPr>
        <w:tblStyle w:val="bwTable"/>
        <w:tblW w:w="4911" w:type="pct"/>
        <w:tblInd w:w="5" w:type="dxa"/>
        <w:tblLook w:val="04A0" w:firstRow="1" w:lastRow="0" w:firstColumn="1" w:lastColumn="0" w:noHBand="0" w:noVBand="1"/>
      </w:tblPr>
      <w:tblGrid>
        <w:gridCol w:w="2434"/>
        <w:gridCol w:w="7247"/>
      </w:tblGrid>
      <w:tr w:rsidR="008F2430" w14:paraId="7B820EDD" w14:textId="77777777" w:rsidTr="00743761">
        <w:trPr>
          <w:cnfStyle w:val="100000000000" w:firstRow="1" w:lastRow="0" w:firstColumn="0" w:lastColumn="0" w:oddVBand="0" w:evenVBand="0" w:oddHBand="0" w:evenHBand="0" w:firstRowFirstColumn="0" w:firstRowLastColumn="0" w:lastRowFirstColumn="0" w:lastRowLastColumn="0"/>
          <w:tblHeader/>
        </w:trPr>
        <w:tc>
          <w:tcPr>
            <w:tcW w:w="948" w:type="pct"/>
          </w:tcPr>
          <w:p w14:paraId="72DE71DA" w14:textId="30F76615" w:rsidR="002D6733" w:rsidRPr="00823D46" w:rsidRDefault="002D6733" w:rsidP="00493B5C">
            <w:pPr>
              <w:spacing w:line="276" w:lineRule="auto"/>
              <w:rPr>
                <w:b/>
                <w:sz w:val="16"/>
                <w:szCs w:val="20"/>
                <w:lang w:val="en-GB" w:bidi="ar-SA"/>
              </w:rPr>
            </w:pPr>
            <w:r w:rsidRPr="00823D46">
              <w:rPr>
                <w:b/>
                <w:sz w:val="16"/>
                <w:szCs w:val="20"/>
                <w:lang w:val="en-GB" w:bidi="ar-SA"/>
              </w:rPr>
              <w:t>Manager</w:t>
            </w:r>
          </w:p>
        </w:tc>
        <w:tc>
          <w:tcPr>
            <w:tcW w:w="4052" w:type="pct"/>
          </w:tcPr>
          <w:p w14:paraId="5AC2BAB8" w14:textId="1E141064" w:rsidR="002D6733" w:rsidRPr="00823D46" w:rsidRDefault="002D6733">
            <w:pPr>
              <w:spacing w:line="276" w:lineRule="auto"/>
              <w:jc w:val="center"/>
              <w:rPr>
                <w:b/>
                <w:sz w:val="16"/>
                <w:szCs w:val="20"/>
                <w:lang w:val="en-GB" w:bidi="ar-SA"/>
              </w:rPr>
            </w:pPr>
            <w:r w:rsidRPr="00823D46">
              <w:rPr>
                <w:b/>
                <w:sz w:val="16"/>
                <w:szCs w:val="20"/>
                <w:lang w:val="en-GB" w:bidi="ar-SA"/>
              </w:rPr>
              <w:t xml:space="preserve">Engagement </w:t>
            </w:r>
            <w:r w:rsidR="007C46B0">
              <w:rPr>
                <w:b/>
                <w:sz w:val="16"/>
                <w:szCs w:val="20"/>
                <w:lang w:val="en-GB" w:bidi="ar-SA"/>
              </w:rPr>
              <w:t>undertaken</w:t>
            </w:r>
          </w:p>
        </w:tc>
      </w:tr>
      <w:tr w:rsidR="008F2430" w:rsidRPr="00060F93" w14:paraId="0F6B1E0B" w14:textId="77777777" w:rsidTr="00743761">
        <w:trPr>
          <w:cnfStyle w:val="000000100000" w:firstRow="0" w:lastRow="0" w:firstColumn="0" w:lastColumn="0" w:oddVBand="0" w:evenVBand="0" w:oddHBand="1" w:evenHBand="0" w:firstRowFirstColumn="0" w:firstRowLastColumn="0" w:lastRowFirstColumn="0" w:lastRowLastColumn="0"/>
          <w:trHeight w:val="300"/>
        </w:trPr>
        <w:tc>
          <w:tcPr>
            <w:tcW w:w="948" w:type="pct"/>
            <w:noWrap/>
          </w:tcPr>
          <w:p w14:paraId="1CDD1577" w14:textId="519F76DA" w:rsidR="002D6733" w:rsidRPr="00060F93" w:rsidRDefault="002D6733" w:rsidP="002D6733">
            <w:pPr>
              <w:spacing w:line="276" w:lineRule="auto"/>
              <w:rPr>
                <w:b/>
                <w:sz w:val="16"/>
                <w:szCs w:val="20"/>
                <w:lang w:val="en-GB" w:bidi="ar-SA"/>
              </w:rPr>
            </w:pPr>
            <w:r>
              <w:rPr>
                <w:b/>
                <w:sz w:val="16"/>
                <w:szCs w:val="20"/>
                <w:lang w:val="en-GB" w:bidi="ar-SA"/>
              </w:rPr>
              <w:t xml:space="preserve">ASI </w:t>
            </w:r>
            <w:r w:rsidR="00FB4872">
              <w:rPr>
                <w:b/>
                <w:sz w:val="16"/>
                <w:szCs w:val="20"/>
                <w:lang w:val="en-GB" w:bidi="ar-SA"/>
              </w:rPr>
              <w:t>(</w:t>
            </w:r>
            <w:r w:rsidR="00A32DCC">
              <w:rPr>
                <w:b/>
                <w:sz w:val="16"/>
                <w:szCs w:val="20"/>
                <w:lang w:val="en-GB" w:bidi="ar-SA"/>
              </w:rPr>
              <w:t>f</w:t>
            </w:r>
            <w:r>
              <w:rPr>
                <w:b/>
                <w:sz w:val="16"/>
                <w:szCs w:val="20"/>
                <w:lang w:val="en-GB" w:bidi="ar-SA"/>
              </w:rPr>
              <w:t>irm</w:t>
            </w:r>
            <w:r w:rsidR="00A32DCC">
              <w:rPr>
                <w:b/>
                <w:sz w:val="16"/>
                <w:szCs w:val="20"/>
                <w:lang w:val="en-GB" w:bidi="ar-SA"/>
              </w:rPr>
              <w:t>-l</w:t>
            </w:r>
            <w:r>
              <w:rPr>
                <w:b/>
                <w:sz w:val="16"/>
                <w:szCs w:val="20"/>
                <w:lang w:val="en-GB" w:bidi="ar-SA"/>
              </w:rPr>
              <w:t>evel</w:t>
            </w:r>
            <w:r w:rsidR="00FB4872">
              <w:rPr>
                <w:b/>
                <w:sz w:val="16"/>
                <w:szCs w:val="20"/>
                <w:lang w:val="en-GB" w:bidi="ar-SA"/>
              </w:rPr>
              <w:t>)</w:t>
            </w:r>
          </w:p>
        </w:tc>
        <w:tc>
          <w:tcPr>
            <w:tcW w:w="4052" w:type="pct"/>
          </w:tcPr>
          <w:p w14:paraId="688D4A5F" w14:textId="343081C5" w:rsidR="002D6733" w:rsidRPr="00060F93" w:rsidRDefault="00752572">
            <w:pPr>
              <w:spacing w:line="276" w:lineRule="auto"/>
              <w:jc w:val="both"/>
              <w:rPr>
                <w:sz w:val="16"/>
                <w:szCs w:val="20"/>
                <w:lang w:val="en-GB" w:bidi="ar-SA"/>
              </w:rPr>
            </w:pPr>
            <w:r w:rsidRPr="00743761">
              <w:rPr>
                <w:b/>
                <w:sz w:val="16"/>
                <w:szCs w:val="20"/>
                <w:lang w:val="en-GB" w:bidi="ar-SA"/>
              </w:rPr>
              <w:t xml:space="preserve">Omega </w:t>
            </w:r>
            <w:proofErr w:type="spellStart"/>
            <w:r w:rsidRPr="00743761">
              <w:rPr>
                <w:b/>
                <w:sz w:val="16"/>
                <w:szCs w:val="20"/>
                <w:lang w:val="en-GB" w:bidi="ar-SA"/>
              </w:rPr>
              <w:t>Geracao</w:t>
            </w:r>
            <w:proofErr w:type="spellEnd"/>
            <w:r w:rsidR="00A32DCC">
              <w:rPr>
                <w:sz w:val="16"/>
                <w:szCs w:val="20"/>
                <w:lang w:val="en-GB" w:bidi="ar-SA"/>
              </w:rPr>
              <w:t>:</w:t>
            </w:r>
            <w:r w:rsidR="00A32DCC" w:rsidRPr="00752572">
              <w:rPr>
                <w:sz w:val="16"/>
                <w:szCs w:val="20"/>
                <w:lang w:val="en-GB" w:bidi="ar-SA"/>
              </w:rPr>
              <w:t xml:space="preserve"> </w:t>
            </w:r>
            <w:r w:rsidR="005B48AC" w:rsidRPr="005B48AC">
              <w:rPr>
                <w:sz w:val="16"/>
                <w:szCs w:val="20"/>
                <w:lang w:val="en-GB" w:bidi="ar-SA"/>
              </w:rPr>
              <w:t>ASI’s</w:t>
            </w:r>
            <w:r w:rsidRPr="00752572">
              <w:rPr>
                <w:sz w:val="16"/>
                <w:szCs w:val="20"/>
                <w:lang w:val="en-GB" w:bidi="ar-SA"/>
              </w:rPr>
              <w:t xml:space="preserve"> </w:t>
            </w:r>
            <w:r w:rsidRPr="005B48AC">
              <w:rPr>
                <w:sz w:val="16"/>
                <w:szCs w:val="20"/>
                <w:lang w:val="en-GB" w:bidi="ar-SA"/>
              </w:rPr>
              <w:t xml:space="preserve">engagement was driven by </w:t>
            </w:r>
            <w:r w:rsidR="005B48AC" w:rsidRPr="005B48AC">
              <w:rPr>
                <w:sz w:val="16"/>
                <w:szCs w:val="20"/>
                <w:lang w:val="en-GB" w:bidi="ar-SA"/>
              </w:rPr>
              <w:t>identified</w:t>
            </w:r>
            <w:r w:rsidRPr="005B48AC">
              <w:rPr>
                <w:sz w:val="16"/>
                <w:szCs w:val="20"/>
                <w:lang w:val="en-GB" w:bidi="ar-SA"/>
              </w:rPr>
              <w:t xml:space="preserve"> gaps in disclosure,</w:t>
            </w:r>
            <w:r w:rsidR="005B48AC" w:rsidRPr="005B48AC">
              <w:rPr>
                <w:sz w:val="16"/>
                <w:szCs w:val="20"/>
                <w:lang w:val="en-GB" w:bidi="ar-SA"/>
              </w:rPr>
              <w:t xml:space="preserve"> </w:t>
            </w:r>
            <w:r w:rsidRPr="005B48AC">
              <w:rPr>
                <w:sz w:val="16"/>
                <w:szCs w:val="20"/>
                <w:lang w:val="en-GB" w:bidi="ar-SA"/>
              </w:rPr>
              <w:t xml:space="preserve">an aspect </w:t>
            </w:r>
            <w:r w:rsidR="005B48AC" w:rsidRPr="005B48AC">
              <w:rPr>
                <w:sz w:val="16"/>
                <w:szCs w:val="20"/>
                <w:lang w:val="en-GB" w:bidi="ar-SA"/>
              </w:rPr>
              <w:t>they</w:t>
            </w:r>
            <w:r w:rsidRPr="005B48AC">
              <w:rPr>
                <w:sz w:val="16"/>
                <w:szCs w:val="20"/>
                <w:lang w:val="en-GB" w:bidi="ar-SA"/>
              </w:rPr>
              <w:t xml:space="preserve"> find common with companies who have not been</w:t>
            </w:r>
            <w:r w:rsidR="005B48AC" w:rsidRPr="005B48AC">
              <w:rPr>
                <w:sz w:val="16"/>
                <w:szCs w:val="20"/>
                <w:lang w:val="en-GB" w:bidi="ar-SA"/>
              </w:rPr>
              <w:t xml:space="preserve"> </w:t>
            </w:r>
            <w:r w:rsidRPr="005B48AC">
              <w:rPr>
                <w:sz w:val="16"/>
                <w:szCs w:val="20"/>
                <w:lang w:val="en-GB" w:bidi="ar-SA"/>
              </w:rPr>
              <w:t xml:space="preserve">publicly listed for long. During </w:t>
            </w:r>
            <w:r w:rsidR="005B48AC" w:rsidRPr="005B48AC">
              <w:rPr>
                <w:sz w:val="16"/>
                <w:szCs w:val="20"/>
                <w:lang w:val="en-GB" w:bidi="ar-SA"/>
              </w:rPr>
              <w:t>their</w:t>
            </w:r>
            <w:r w:rsidRPr="005B48AC">
              <w:rPr>
                <w:sz w:val="16"/>
                <w:szCs w:val="20"/>
                <w:lang w:val="en-GB" w:bidi="ar-SA"/>
              </w:rPr>
              <w:t xml:space="preserve"> meeting, </w:t>
            </w:r>
            <w:r w:rsidR="005B48AC" w:rsidRPr="005B48AC">
              <w:rPr>
                <w:sz w:val="16"/>
                <w:szCs w:val="20"/>
                <w:lang w:val="en-GB" w:bidi="ar-SA"/>
              </w:rPr>
              <w:t>they</w:t>
            </w:r>
            <w:r w:rsidRPr="005B48AC">
              <w:rPr>
                <w:sz w:val="16"/>
                <w:szCs w:val="20"/>
                <w:lang w:val="en-GB" w:bidi="ar-SA"/>
              </w:rPr>
              <w:t xml:space="preserve"> covered a number</w:t>
            </w:r>
            <w:r w:rsidR="005B48AC" w:rsidRPr="005B48AC">
              <w:rPr>
                <w:sz w:val="16"/>
                <w:szCs w:val="20"/>
                <w:lang w:val="en-GB" w:bidi="ar-SA"/>
              </w:rPr>
              <w:t xml:space="preserve"> </w:t>
            </w:r>
            <w:r w:rsidRPr="005B48AC">
              <w:rPr>
                <w:sz w:val="16"/>
                <w:szCs w:val="20"/>
                <w:lang w:val="en-GB" w:bidi="ar-SA"/>
              </w:rPr>
              <w:t>of topics affecting power generators – environmental impact,</w:t>
            </w:r>
            <w:r w:rsidR="005B48AC" w:rsidRPr="005B48AC">
              <w:rPr>
                <w:sz w:val="16"/>
                <w:szCs w:val="20"/>
                <w:lang w:val="en-GB" w:bidi="ar-SA"/>
              </w:rPr>
              <w:t xml:space="preserve"> </w:t>
            </w:r>
            <w:r w:rsidRPr="005B48AC">
              <w:rPr>
                <w:sz w:val="16"/>
                <w:szCs w:val="20"/>
                <w:lang w:val="en-GB" w:bidi="ar-SA"/>
              </w:rPr>
              <w:t>health &amp; safety at asset sites and corruption</w:t>
            </w:r>
            <w:r w:rsidR="005B48AC" w:rsidRPr="005B48AC">
              <w:rPr>
                <w:sz w:val="16"/>
                <w:szCs w:val="20"/>
                <w:lang w:val="en-GB" w:bidi="ar-SA"/>
              </w:rPr>
              <w:t xml:space="preserve"> </w:t>
            </w:r>
            <w:r w:rsidRPr="005B48AC">
              <w:rPr>
                <w:sz w:val="16"/>
                <w:szCs w:val="20"/>
                <w:lang w:val="en-GB" w:bidi="ar-SA"/>
              </w:rPr>
              <w:t>controls.</w:t>
            </w:r>
            <w:r w:rsidR="005B48AC" w:rsidRPr="005B48AC">
              <w:rPr>
                <w:sz w:val="16"/>
                <w:szCs w:val="20"/>
                <w:lang w:val="en-GB" w:bidi="ar-SA"/>
              </w:rPr>
              <w:t xml:space="preserve"> ASI’s engagement with Omega provided comfort on progress the company is making on the management of factors discussed. They came away with a clear set of timeline</w:t>
            </w:r>
            <w:r w:rsidR="00A32DCC">
              <w:rPr>
                <w:sz w:val="16"/>
                <w:szCs w:val="20"/>
                <w:lang w:val="en-GB" w:bidi="ar-SA"/>
              </w:rPr>
              <w:t>s</w:t>
            </w:r>
            <w:r w:rsidR="005B48AC" w:rsidRPr="005B48AC">
              <w:rPr>
                <w:sz w:val="16"/>
                <w:szCs w:val="20"/>
                <w:lang w:val="en-GB" w:bidi="ar-SA"/>
              </w:rPr>
              <w:t xml:space="preserve"> </w:t>
            </w:r>
            <w:r w:rsidR="00A32DCC">
              <w:rPr>
                <w:sz w:val="16"/>
                <w:szCs w:val="20"/>
                <w:lang w:val="en-GB" w:bidi="ar-SA"/>
              </w:rPr>
              <w:t>which they will continue</w:t>
            </w:r>
            <w:r w:rsidR="005B48AC" w:rsidRPr="005B48AC">
              <w:rPr>
                <w:sz w:val="16"/>
                <w:szCs w:val="20"/>
                <w:lang w:val="en-GB" w:bidi="ar-SA"/>
              </w:rPr>
              <w:t xml:space="preserve"> to track as milestones during their ongoing dialogue with the company.</w:t>
            </w:r>
          </w:p>
        </w:tc>
      </w:tr>
      <w:tr w:rsidR="008F2430" w:rsidRPr="00060F93" w14:paraId="3556588F" w14:textId="77777777" w:rsidTr="00743761">
        <w:trPr>
          <w:cnfStyle w:val="000000010000" w:firstRow="0" w:lastRow="0" w:firstColumn="0" w:lastColumn="0" w:oddVBand="0" w:evenVBand="0" w:oddHBand="0" w:evenHBand="1" w:firstRowFirstColumn="0" w:firstRowLastColumn="0" w:lastRowFirstColumn="0" w:lastRowLastColumn="0"/>
          <w:trHeight w:val="300"/>
        </w:trPr>
        <w:tc>
          <w:tcPr>
            <w:tcW w:w="948" w:type="pct"/>
            <w:noWrap/>
            <w:hideMark/>
          </w:tcPr>
          <w:p w14:paraId="47813550" w14:textId="732E0677" w:rsidR="002D6733" w:rsidRPr="00060F93" w:rsidRDefault="002D6733" w:rsidP="00493B5C">
            <w:pPr>
              <w:spacing w:line="276" w:lineRule="auto"/>
              <w:rPr>
                <w:b/>
                <w:sz w:val="16"/>
                <w:szCs w:val="20"/>
                <w:lang w:val="en-GB" w:bidi="ar-SA"/>
              </w:rPr>
            </w:pPr>
            <w:r w:rsidRPr="00060F93">
              <w:rPr>
                <w:b/>
                <w:sz w:val="16"/>
                <w:szCs w:val="20"/>
                <w:lang w:val="en-GB" w:bidi="ar-SA"/>
              </w:rPr>
              <w:t>LGIM</w:t>
            </w:r>
            <w:r w:rsidRPr="003F202C">
              <w:rPr>
                <w:b/>
                <w:sz w:val="16"/>
                <w:szCs w:val="20"/>
                <w:lang w:val="en-GB" w:bidi="ar-SA"/>
              </w:rPr>
              <w:t xml:space="preserve"> </w:t>
            </w:r>
            <w:r w:rsidR="00FB4872">
              <w:rPr>
                <w:b/>
                <w:sz w:val="16"/>
                <w:szCs w:val="20"/>
                <w:lang w:val="en-GB" w:bidi="ar-SA"/>
              </w:rPr>
              <w:t>(</w:t>
            </w:r>
            <w:r w:rsidR="00A32DCC">
              <w:rPr>
                <w:b/>
                <w:sz w:val="16"/>
                <w:szCs w:val="20"/>
                <w:lang w:val="en-GB" w:bidi="ar-SA"/>
              </w:rPr>
              <w:t>f</w:t>
            </w:r>
            <w:r w:rsidRPr="003F202C">
              <w:rPr>
                <w:b/>
                <w:sz w:val="16"/>
                <w:szCs w:val="20"/>
                <w:lang w:val="en-GB" w:bidi="ar-SA"/>
              </w:rPr>
              <w:t>irm</w:t>
            </w:r>
            <w:r w:rsidR="00A32DCC">
              <w:rPr>
                <w:b/>
                <w:sz w:val="16"/>
                <w:szCs w:val="20"/>
                <w:lang w:val="en-GB" w:bidi="ar-SA"/>
              </w:rPr>
              <w:t>-l</w:t>
            </w:r>
            <w:r w:rsidRPr="003F202C">
              <w:rPr>
                <w:b/>
                <w:sz w:val="16"/>
                <w:szCs w:val="20"/>
                <w:lang w:val="en-GB" w:bidi="ar-SA"/>
              </w:rPr>
              <w:t>evel</w:t>
            </w:r>
            <w:r w:rsidR="00FB4872">
              <w:rPr>
                <w:b/>
                <w:sz w:val="16"/>
                <w:szCs w:val="20"/>
                <w:lang w:val="en-GB" w:bidi="ar-SA"/>
              </w:rPr>
              <w:t>)</w:t>
            </w:r>
          </w:p>
        </w:tc>
        <w:tc>
          <w:tcPr>
            <w:tcW w:w="4052" w:type="pct"/>
          </w:tcPr>
          <w:p w14:paraId="42E70FCF" w14:textId="502B8782" w:rsidR="002D6733" w:rsidRPr="00060F93" w:rsidRDefault="002D6733">
            <w:pPr>
              <w:spacing w:line="276" w:lineRule="auto"/>
              <w:jc w:val="both"/>
              <w:rPr>
                <w:sz w:val="16"/>
                <w:szCs w:val="20"/>
                <w:lang w:val="en-GB" w:bidi="ar-SA"/>
              </w:rPr>
            </w:pPr>
            <w:r w:rsidRPr="00743761">
              <w:rPr>
                <w:b/>
                <w:sz w:val="16"/>
                <w:szCs w:val="20"/>
                <w:lang w:val="en-GB" w:bidi="ar-SA"/>
              </w:rPr>
              <w:t>Barclays</w:t>
            </w:r>
            <w:r w:rsidR="00A32DCC" w:rsidRPr="00743761">
              <w:rPr>
                <w:b/>
                <w:sz w:val="16"/>
                <w:szCs w:val="20"/>
                <w:lang w:val="en-GB" w:bidi="ar-SA"/>
              </w:rPr>
              <w:t>:</w:t>
            </w:r>
            <w:r w:rsidRPr="00060F93">
              <w:rPr>
                <w:sz w:val="16"/>
                <w:szCs w:val="20"/>
                <w:lang w:val="en-GB" w:bidi="ar-SA"/>
              </w:rPr>
              <w:t xml:space="preserve"> </w:t>
            </w:r>
            <w:r w:rsidR="00A32DCC">
              <w:rPr>
                <w:sz w:val="16"/>
                <w:szCs w:val="20"/>
                <w:lang w:val="en-GB" w:bidi="ar-SA"/>
              </w:rPr>
              <w:t xml:space="preserve">At the AGM, </w:t>
            </w:r>
            <w:r w:rsidRPr="00060F93">
              <w:rPr>
                <w:sz w:val="16"/>
                <w:szCs w:val="20"/>
                <w:lang w:val="en-GB" w:bidi="ar-SA"/>
              </w:rPr>
              <w:t>LGIM endorsed Barclay’s ESG target to shrink its carbon footprint to net zero by 2050, and are focusing on helping Barclays develop plans and achieve their target.</w:t>
            </w:r>
          </w:p>
        </w:tc>
      </w:tr>
      <w:tr w:rsidR="008F2430" w:rsidRPr="00060F93" w14:paraId="0621E771" w14:textId="77777777" w:rsidTr="00743761">
        <w:trPr>
          <w:cnfStyle w:val="000000100000" w:firstRow="0" w:lastRow="0" w:firstColumn="0" w:lastColumn="0" w:oddVBand="0" w:evenVBand="0" w:oddHBand="1" w:evenHBand="0" w:firstRowFirstColumn="0" w:firstRowLastColumn="0" w:lastRowFirstColumn="0" w:lastRowLastColumn="0"/>
          <w:trHeight w:val="300"/>
        </w:trPr>
        <w:tc>
          <w:tcPr>
            <w:tcW w:w="948" w:type="pct"/>
            <w:noWrap/>
          </w:tcPr>
          <w:p w14:paraId="4C90300E" w14:textId="20ABFF83" w:rsidR="002D6733" w:rsidRPr="00060F93" w:rsidRDefault="002D6733">
            <w:pPr>
              <w:spacing w:line="276" w:lineRule="auto"/>
              <w:rPr>
                <w:b/>
                <w:sz w:val="16"/>
                <w:szCs w:val="20"/>
                <w:lang w:val="en-GB" w:bidi="ar-SA"/>
              </w:rPr>
            </w:pPr>
            <w:r>
              <w:rPr>
                <w:b/>
                <w:sz w:val="16"/>
                <w:szCs w:val="20"/>
                <w:lang w:val="en-GB" w:bidi="ar-SA"/>
              </w:rPr>
              <w:t xml:space="preserve">Janus Henderson </w:t>
            </w:r>
            <w:r w:rsidR="00FB4872">
              <w:rPr>
                <w:b/>
                <w:sz w:val="16"/>
                <w:szCs w:val="20"/>
                <w:lang w:val="en-GB" w:bidi="ar-SA"/>
              </w:rPr>
              <w:t>(</w:t>
            </w:r>
            <w:r w:rsidR="00A32DCC">
              <w:rPr>
                <w:b/>
                <w:sz w:val="16"/>
                <w:szCs w:val="20"/>
                <w:lang w:val="en-GB" w:bidi="ar-SA"/>
              </w:rPr>
              <w:t>fund-level</w:t>
            </w:r>
            <w:r w:rsidR="00FB4872">
              <w:rPr>
                <w:b/>
                <w:sz w:val="16"/>
                <w:szCs w:val="20"/>
                <w:lang w:val="en-GB" w:bidi="ar-SA"/>
              </w:rPr>
              <w:t>)</w:t>
            </w:r>
          </w:p>
        </w:tc>
        <w:tc>
          <w:tcPr>
            <w:tcW w:w="4052" w:type="pct"/>
          </w:tcPr>
          <w:p w14:paraId="52905536" w14:textId="7043F3E3" w:rsidR="008F2430" w:rsidRPr="00060F93" w:rsidRDefault="005B48AC">
            <w:pPr>
              <w:spacing w:line="276" w:lineRule="auto"/>
              <w:jc w:val="both"/>
              <w:rPr>
                <w:sz w:val="16"/>
                <w:szCs w:val="20"/>
                <w:lang w:val="en-GB" w:bidi="ar-SA"/>
              </w:rPr>
            </w:pPr>
            <w:r w:rsidRPr="00743761">
              <w:rPr>
                <w:b/>
                <w:sz w:val="16"/>
                <w:szCs w:val="20"/>
                <w:lang w:val="en-GB" w:bidi="ar-SA"/>
              </w:rPr>
              <w:t>Porsche Bank Austria</w:t>
            </w:r>
            <w:r w:rsidR="00A32DCC">
              <w:rPr>
                <w:sz w:val="16"/>
                <w:szCs w:val="20"/>
                <w:lang w:val="en-GB" w:bidi="ar-SA"/>
              </w:rPr>
              <w:t>:</w:t>
            </w:r>
            <w:r>
              <w:rPr>
                <w:sz w:val="16"/>
                <w:szCs w:val="20"/>
                <w:lang w:val="en-GB" w:bidi="ar-SA"/>
              </w:rPr>
              <w:t xml:space="preserve"> </w:t>
            </w:r>
            <w:r w:rsidRPr="005B48AC">
              <w:rPr>
                <w:sz w:val="16"/>
                <w:szCs w:val="20"/>
                <w:lang w:val="en-GB" w:bidi="ar-SA"/>
              </w:rPr>
              <w:t>As</w:t>
            </w:r>
            <w:r w:rsidR="008F2430">
              <w:rPr>
                <w:sz w:val="16"/>
                <w:szCs w:val="20"/>
                <w:lang w:val="en-GB" w:bidi="ar-SA"/>
              </w:rPr>
              <w:t xml:space="preserve"> Janus Henderson</w:t>
            </w:r>
            <w:r w:rsidRPr="005B48AC">
              <w:rPr>
                <w:sz w:val="16"/>
                <w:szCs w:val="20"/>
                <w:lang w:val="en-GB" w:bidi="ar-SA"/>
              </w:rPr>
              <w:t xml:space="preserve"> started to develop </w:t>
            </w:r>
            <w:r w:rsidR="008F2430">
              <w:rPr>
                <w:sz w:val="16"/>
                <w:szCs w:val="20"/>
                <w:lang w:val="en-GB" w:bidi="ar-SA"/>
              </w:rPr>
              <w:t>their</w:t>
            </w:r>
            <w:r w:rsidRPr="005B48AC">
              <w:rPr>
                <w:sz w:val="16"/>
                <w:szCs w:val="20"/>
                <w:lang w:val="en-GB" w:bidi="ar-SA"/>
              </w:rPr>
              <w:t xml:space="preserve"> Carbon Emission Measurement</w:t>
            </w:r>
            <w:r w:rsidR="008F2430">
              <w:rPr>
                <w:sz w:val="16"/>
                <w:szCs w:val="20"/>
                <w:lang w:val="en-GB" w:bidi="ar-SA"/>
              </w:rPr>
              <w:t xml:space="preserve"> </w:t>
            </w:r>
            <w:r w:rsidRPr="005B48AC">
              <w:rPr>
                <w:sz w:val="16"/>
                <w:szCs w:val="20"/>
                <w:lang w:val="en-GB" w:bidi="ar-SA"/>
              </w:rPr>
              <w:t>Framework, the</w:t>
            </w:r>
            <w:r w:rsidR="00A32DCC">
              <w:rPr>
                <w:sz w:val="16"/>
                <w:szCs w:val="20"/>
                <w:lang w:val="en-GB" w:bidi="ar-SA"/>
              </w:rPr>
              <w:t>ir</w:t>
            </w:r>
            <w:r w:rsidRPr="005B48AC">
              <w:rPr>
                <w:sz w:val="16"/>
                <w:szCs w:val="20"/>
                <w:lang w:val="en-GB" w:bidi="ar-SA"/>
              </w:rPr>
              <w:t xml:space="preserve"> close relationship with the </w:t>
            </w:r>
            <w:r w:rsidR="00A32DCC">
              <w:rPr>
                <w:sz w:val="16"/>
                <w:szCs w:val="20"/>
                <w:lang w:val="en-GB" w:bidi="ar-SA"/>
              </w:rPr>
              <w:t>company</w:t>
            </w:r>
            <w:r w:rsidR="00A32DCC" w:rsidRPr="005B48AC">
              <w:rPr>
                <w:sz w:val="16"/>
                <w:szCs w:val="20"/>
                <w:lang w:val="en-GB" w:bidi="ar-SA"/>
              </w:rPr>
              <w:t xml:space="preserve"> </w:t>
            </w:r>
            <w:r w:rsidRPr="005B48AC">
              <w:rPr>
                <w:sz w:val="16"/>
                <w:szCs w:val="20"/>
                <w:lang w:val="en-GB" w:bidi="ar-SA"/>
              </w:rPr>
              <w:t xml:space="preserve">offered </w:t>
            </w:r>
            <w:r w:rsidR="008F2430">
              <w:rPr>
                <w:sz w:val="16"/>
                <w:szCs w:val="20"/>
                <w:lang w:val="en-GB" w:bidi="ar-SA"/>
              </w:rPr>
              <w:t>them</w:t>
            </w:r>
            <w:r w:rsidRPr="005B48AC">
              <w:rPr>
                <w:sz w:val="16"/>
                <w:szCs w:val="20"/>
                <w:lang w:val="en-GB" w:bidi="ar-SA"/>
              </w:rPr>
              <w:t xml:space="preserve"> an</w:t>
            </w:r>
            <w:r w:rsidR="008F2430">
              <w:rPr>
                <w:sz w:val="16"/>
                <w:szCs w:val="20"/>
                <w:lang w:val="en-GB" w:bidi="ar-SA"/>
              </w:rPr>
              <w:t xml:space="preserve"> </w:t>
            </w:r>
            <w:r w:rsidRPr="005B48AC">
              <w:rPr>
                <w:sz w:val="16"/>
                <w:szCs w:val="20"/>
                <w:lang w:val="en-GB" w:bidi="ar-SA"/>
              </w:rPr>
              <w:t xml:space="preserve">opportunity to discuss </w:t>
            </w:r>
            <w:r w:rsidR="00693791">
              <w:rPr>
                <w:sz w:val="16"/>
                <w:szCs w:val="20"/>
                <w:lang w:val="en-GB" w:bidi="ar-SA"/>
              </w:rPr>
              <w:t>the</w:t>
            </w:r>
            <w:r w:rsidRPr="005B48AC">
              <w:rPr>
                <w:sz w:val="16"/>
                <w:szCs w:val="20"/>
                <w:lang w:val="en-GB" w:bidi="ar-SA"/>
              </w:rPr>
              <w:t xml:space="preserve"> framework in a more open forum</w:t>
            </w:r>
            <w:r w:rsidR="008F2430">
              <w:rPr>
                <w:sz w:val="16"/>
                <w:szCs w:val="20"/>
                <w:lang w:val="en-GB" w:bidi="ar-SA"/>
              </w:rPr>
              <w:t xml:space="preserve">. They </w:t>
            </w:r>
            <w:r w:rsidR="008F2430" w:rsidRPr="008F2430">
              <w:rPr>
                <w:sz w:val="16"/>
                <w:szCs w:val="20"/>
                <w:lang w:val="en-GB" w:bidi="ar-SA"/>
              </w:rPr>
              <w:t>highlighted specific variables required to</w:t>
            </w:r>
            <w:r w:rsidR="008F2430">
              <w:rPr>
                <w:sz w:val="16"/>
                <w:szCs w:val="20"/>
                <w:lang w:val="en-GB" w:bidi="ar-SA"/>
              </w:rPr>
              <w:t xml:space="preserve"> calculate carbon emissions</w:t>
            </w:r>
            <w:r w:rsidR="00693791">
              <w:rPr>
                <w:sz w:val="16"/>
                <w:szCs w:val="20"/>
                <w:lang w:val="en-GB" w:bidi="ar-SA"/>
              </w:rPr>
              <w:t>,</w:t>
            </w:r>
            <w:r w:rsidR="008F2430">
              <w:rPr>
                <w:sz w:val="16"/>
                <w:szCs w:val="20"/>
                <w:lang w:val="en-GB" w:bidi="ar-SA"/>
              </w:rPr>
              <w:t xml:space="preserve"> and</w:t>
            </w:r>
            <w:r w:rsidR="008F2430" w:rsidRPr="008F2430">
              <w:rPr>
                <w:sz w:val="16"/>
                <w:szCs w:val="20"/>
                <w:lang w:val="en-GB" w:bidi="ar-SA"/>
              </w:rPr>
              <w:t xml:space="preserve"> discussed the possibility of making the data available</w:t>
            </w:r>
            <w:r w:rsidR="008F2430">
              <w:rPr>
                <w:sz w:val="16"/>
                <w:szCs w:val="20"/>
                <w:lang w:val="en-GB" w:bidi="ar-SA"/>
              </w:rPr>
              <w:t xml:space="preserve"> </w:t>
            </w:r>
            <w:r w:rsidR="008F2430" w:rsidRPr="008F2430">
              <w:rPr>
                <w:sz w:val="16"/>
                <w:szCs w:val="20"/>
                <w:lang w:val="en-GB" w:bidi="ar-SA"/>
              </w:rPr>
              <w:t>to all market participants</w:t>
            </w:r>
            <w:r w:rsidR="008F2430">
              <w:rPr>
                <w:sz w:val="16"/>
                <w:szCs w:val="20"/>
                <w:lang w:val="en-GB" w:bidi="ar-SA"/>
              </w:rPr>
              <w:t xml:space="preserve">. </w:t>
            </w:r>
            <w:r w:rsidR="00A32DCC">
              <w:rPr>
                <w:sz w:val="16"/>
                <w:szCs w:val="20"/>
                <w:lang w:val="en-GB" w:bidi="ar-SA"/>
              </w:rPr>
              <w:t>The company</w:t>
            </w:r>
            <w:r w:rsidR="008F2430" w:rsidRPr="008F2430">
              <w:rPr>
                <w:sz w:val="16"/>
                <w:szCs w:val="20"/>
                <w:lang w:val="en-GB" w:bidi="ar-SA"/>
              </w:rPr>
              <w:t xml:space="preserve"> took on the feedback and</w:t>
            </w:r>
            <w:r w:rsidR="008F2430">
              <w:rPr>
                <w:sz w:val="16"/>
                <w:szCs w:val="20"/>
                <w:lang w:val="en-GB" w:bidi="ar-SA"/>
              </w:rPr>
              <w:t xml:space="preserve"> </w:t>
            </w:r>
            <w:r w:rsidR="008F2430" w:rsidRPr="008F2430">
              <w:rPr>
                <w:sz w:val="16"/>
                <w:szCs w:val="20"/>
                <w:lang w:val="en-GB" w:bidi="ar-SA"/>
              </w:rPr>
              <w:t>will</w:t>
            </w:r>
            <w:r w:rsidR="008F2430">
              <w:rPr>
                <w:sz w:val="16"/>
                <w:szCs w:val="20"/>
                <w:lang w:val="en-GB" w:bidi="ar-SA"/>
              </w:rPr>
              <w:t xml:space="preserve"> </w:t>
            </w:r>
            <w:r w:rsidR="008F2430" w:rsidRPr="008F2430">
              <w:rPr>
                <w:sz w:val="16"/>
                <w:szCs w:val="20"/>
                <w:lang w:val="en-GB" w:bidi="ar-SA"/>
              </w:rPr>
              <w:t xml:space="preserve">conduct an internal review to identify whether </w:t>
            </w:r>
            <w:r w:rsidR="00693791">
              <w:rPr>
                <w:sz w:val="16"/>
                <w:szCs w:val="20"/>
                <w:lang w:val="en-GB" w:bidi="ar-SA"/>
              </w:rPr>
              <w:t>this</w:t>
            </w:r>
            <w:r w:rsidR="008F2430" w:rsidRPr="008F2430">
              <w:rPr>
                <w:sz w:val="16"/>
                <w:szCs w:val="20"/>
                <w:lang w:val="en-GB" w:bidi="ar-SA"/>
              </w:rPr>
              <w:t xml:space="preserve"> is feasible</w:t>
            </w:r>
            <w:r w:rsidR="00A32DCC">
              <w:rPr>
                <w:sz w:val="16"/>
                <w:szCs w:val="20"/>
                <w:lang w:val="en-GB" w:bidi="ar-SA"/>
              </w:rPr>
              <w:t>.</w:t>
            </w:r>
            <w:r w:rsidR="008F2430" w:rsidRPr="008F2430">
              <w:rPr>
                <w:sz w:val="16"/>
                <w:szCs w:val="20"/>
                <w:lang w:val="en-GB" w:bidi="ar-SA"/>
              </w:rPr>
              <w:t xml:space="preserve"> </w:t>
            </w:r>
            <w:r w:rsidR="008F2430">
              <w:rPr>
                <w:sz w:val="16"/>
                <w:szCs w:val="20"/>
                <w:lang w:val="en-GB" w:bidi="ar-SA"/>
              </w:rPr>
              <w:t>Janus Henderson</w:t>
            </w:r>
            <w:r w:rsidR="008F2430" w:rsidRPr="008F2430">
              <w:rPr>
                <w:sz w:val="16"/>
                <w:szCs w:val="20"/>
                <w:lang w:val="en-GB" w:bidi="ar-SA"/>
              </w:rPr>
              <w:t xml:space="preserve"> agreed to continue maintaining a</w:t>
            </w:r>
            <w:r w:rsidR="008F2430">
              <w:rPr>
                <w:sz w:val="16"/>
                <w:szCs w:val="20"/>
                <w:lang w:val="en-GB" w:bidi="ar-SA"/>
              </w:rPr>
              <w:t xml:space="preserve"> </w:t>
            </w:r>
            <w:r w:rsidR="008F2430" w:rsidRPr="008F2430">
              <w:rPr>
                <w:sz w:val="16"/>
                <w:szCs w:val="20"/>
                <w:lang w:val="en-GB" w:bidi="ar-SA"/>
              </w:rPr>
              <w:t>close dialogue on the subject, with a follow up meeting</w:t>
            </w:r>
            <w:r w:rsidR="008F2430">
              <w:rPr>
                <w:sz w:val="16"/>
                <w:szCs w:val="20"/>
                <w:lang w:val="en-GB" w:bidi="ar-SA"/>
              </w:rPr>
              <w:t xml:space="preserve"> </w:t>
            </w:r>
            <w:r w:rsidR="008F2430" w:rsidRPr="008F2430">
              <w:rPr>
                <w:sz w:val="16"/>
                <w:szCs w:val="20"/>
                <w:lang w:val="en-GB" w:bidi="ar-SA"/>
              </w:rPr>
              <w:t>ahead of</w:t>
            </w:r>
            <w:r w:rsidR="008F2430">
              <w:rPr>
                <w:sz w:val="16"/>
                <w:szCs w:val="20"/>
                <w:lang w:val="en-GB" w:bidi="ar-SA"/>
              </w:rPr>
              <w:t xml:space="preserve"> </w:t>
            </w:r>
            <w:r w:rsidR="008F2430" w:rsidRPr="008F2430">
              <w:rPr>
                <w:sz w:val="16"/>
                <w:szCs w:val="20"/>
                <w:lang w:val="en-GB" w:bidi="ar-SA"/>
              </w:rPr>
              <w:t>next new issue</w:t>
            </w:r>
            <w:r w:rsidR="008F2430">
              <w:rPr>
                <w:sz w:val="16"/>
                <w:szCs w:val="20"/>
                <w:lang w:val="en-GB" w:bidi="ar-SA"/>
              </w:rPr>
              <w:t>.</w:t>
            </w:r>
          </w:p>
        </w:tc>
      </w:tr>
    </w:tbl>
    <w:p w14:paraId="19735DA0" w14:textId="0DFB7AFA" w:rsidR="002D6733" w:rsidRPr="00440CC2" w:rsidRDefault="002D6733" w:rsidP="002D6733">
      <w:pPr>
        <w:pStyle w:val="BodyText"/>
        <w:rPr>
          <w:b/>
          <w:color w:val="FF0000"/>
        </w:rPr>
      </w:pPr>
    </w:p>
    <w:sectPr w:rsidR="002D6733" w:rsidRPr="00440CC2" w:rsidSect="00965216">
      <w:headerReference w:type="default" r:id="rId8"/>
      <w:footerReference w:type="default" r:id="rId9"/>
      <w:pgSz w:w="11906" w:h="16838"/>
      <w:pgMar w:top="2268" w:right="1020" w:bottom="1440"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F8A8C" w14:textId="77777777" w:rsidR="00493B5C" w:rsidRDefault="00493B5C" w:rsidP="00615554">
      <w:r>
        <w:separator/>
      </w:r>
    </w:p>
  </w:endnote>
  <w:endnote w:type="continuationSeparator" w:id="0">
    <w:p w14:paraId="515209D4" w14:textId="77777777" w:rsidR="00493B5C" w:rsidRDefault="00493B5C" w:rsidP="0061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0E2D" w14:textId="77777777" w:rsidR="00493B5C" w:rsidRDefault="00493B5C" w:rsidP="00615554">
    <w:r w:rsidRPr="004F015E">
      <w:rPr>
        <w:noProof/>
        <w:color w:val="797979"/>
        <w:sz w:val="13"/>
        <w:szCs w:val="13"/>
        <w:lang w:val="en-GB" w:eastAsia="en-GB" w:bidi="ar-SA"/>
      </w:rPr>
      <mc:AlternateContent>
        <mc:Choice Requires="wps">
          <w:drawing>
            <wp:anchor distT="45720" distB="45720" distL="114300" distR="114300" simplePos="0" relativeHeight="251660288" behindDoc="0" locked="0" layoutInCell="1" allowOverlap="1" wp14:anchorId="6CC2D6FE" wp14:editId="09BEC26A">
              <wp:simplePos x="0" y="0"/>
              <wp:positionH relativeFrom="margin">
                <wp:align>right</wp:align>
              </wp:positionH>
              <wp:positionV relativeFrom="paragraph">
                <wp:posOffset>5080</wp:posOffset>
              </wp:positionV>
              <wp:extent cx="3768090" cy="125095"/>
              <wp:effectExtent l="0" t="0" r="3810" b="82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125095"/>
                      </a:xfrm>
                      <a:prstGeom prst="rect">
                        <a:avLst/>
                      </a:prstGeom>
                      <a:solidFill>
                        <a:srgbClr val="FFFFFF"/>
                      </a:solidFill>
                      <a:ln w="9525">
                        <a:noFill/>
                        <a:miter lim="800000"/>
                        <a:headEnd/>
                        <a:tailEnd/>
                      </a:ln>
                    </wps:spPr>
                    <wps:txbx>
                      <w:txbxContent>
                        <w:p w14:paraId="3AFDED97" w14:textId="38ED1449" w:rsidR="00493B5C" w:rsidRPr="002C1FBA" w:rsidRDefault="003E081C" w:rsidP="00615554">
                          <w:pPr>
                            <w:jc w:val="right"/>
                            <w:rPr>
                              <w:rFonts w:cs="Segoe UI"/>
                              <w:color w:val="797979"/>
                              <w:sz w:val="12"/>
                              <w:szCs w:val="12"/>
                            </w:rPr>
                          </w:pPr>
                          <w:sdt>
                            <w:sdtPr>
                              <w:rPr>
                                <w:sz w:val="12"/>
                                <w:szCs w:val="12"/>
                              </w:rPr>
                              <w:alias w:val="Client Name"/>
                              <w:tag w:val="Client Name"/>
                              <w:id w:val="1688403083"/>
                              <w:text/>
                            </w:sdtPr>
                            <w:sdtEndPr/>
                            <w:sdtContent>
                              <w:r w:rsidR="00493B5C" w:rsidRPr="002D6733">
                                <w:rPr>
                                  <w:sz w:val="12"/>
                                  <w:szCs w:val="12"/>
                                </w:rPr>
                                <w:t>Royal Blind Group Pension Scheme</w:t>
                              </w:r>
                            </w:sdtContent>
                          </w:sdt>
                          <w:r w:rsidR="00493B5C" w:rsidRPr="002C1FBA">
                            <w:rPr>
                              <w:sz w:val="12"/>
                              <w:szCs w:val="12"/>
                            </w:rPr>
                            <w:t xml:space="preserve"> </w:t>
                          </w:r>
                          <w:r w:rsidR="00493B5C">
                            <w:rPr>
                              <w:sz w:val="12"/>
                              <w:szCs w:val="12"/>
                            </w:rPr>
                            <w:t xml:space="preserve"> </w:t>
                          </w:r>
                          <w:r w:rsidR="00493B5C" w:rsidRPr="002C1FBA">
                            <w:rPr>
                              <w:color w:val="009FE3"/>
                              <w:sz w:val="12"/>
                              <w:szCs w:val="12"/>
                            </w:rPr>
                            <w:t xml:space="preserve"> |   </w:t>
                          </w:r>
                          <w:sdt>
                            <w:sdtPr>
                              <w:rPr>
                                <w:sz w:val="12"/>
                                <w:szCs w:val="12"/>
                              </w:rPr>
                              <w:alias w:val="Title"/>
                              <w:tag w:val=""/>
                              <w:id w:val="-632094615"/>
                              <w:dataBinding w:prefixMappings="xmlns:ns0='http://purl.org/dc/elements/1.1/' xmlns:ns1='http://schemas.openxmlformats.org/package/2006/metadata/core-properties' " w:xpath="/ns1:coreProperties[1]/ns0:title[1]" w:storeItemID="{6C3C8BC8-F283-45AE-878A-BAB7291924A1}"/>
                              <w:text/>
                            </w:sdtPr>
                            <w:sdtEndPr/>
                            <w:sdtContent>
                              <w:r w:rsidR="00493B5C">
                                <w:rPr>
                                  <w:sz w:val="12"/>
                                  <w:szCs w:val="12"/>
                                </w:rPr>
                                <w:t>Implementation Statement</w:t>
                              </w:r>
                            </w:sdtContent>
                          </w:sdt>
                          <w:r w:rsidR="00493B5C">
                            <w:rPr>
                              <w:sz w:val="12"/>
                              <w:szCs w:val="12"/>
                            </w:rPr>
                            <w:t xml:space="preserve">   </w:t>
                          </w:r>
                          <w:r w:rsidR="00493B5C" w:rsidRPr="002C1FBA">
                            <w:rPr>
                              <w:color w:val="009FE3"/>
                              <w:sz w:val="12"/>
                              <w:szCs w:val="12"/>
                            </w:rPr>
                            <w:t xml:space="preserve">| </w:t>
                          </w:r>
                          <w:r w:rsidR="00493B5C">
                            <w:rPr>
                              <w:sz w:val="12"/>
                              <w:szCs w:val="12"/>
                            </w:rPr>
                            <w:t xml:space="preserve"> </w:t>
                          </w:r>
                          <w:r w:rsidR="00493B5C" w:rsidRPr="002C1FBA">
                            <w:rPr>
                              <w:color w:val="797979"/>
                              <w:sz w:val="12"/>
                              <w:szCs w:val="12"/>
                            </w:rPr>
                            <w:t xml:space="preserve"> </w:t>
                          </w:r>
                          <w:sdt>
                            <w:sdtPr>
                              <w:rPr>
                                <w:sz w:val="12"/>
                                <w:szCs w:val="12"/>
                              </w:rPr>
                              <w:alias w:val="Publish Date"/>
                              <w:tag w:val=""/>
                              <w:id w:val="163674104"/>
                              <w:dataBinding w:prefixMappings="xmlns:ns0='http://schemas.microsoft.com/office/2006/coverPageProps' " w:xpath="/ns0:CoverPageProperties[1]/ns0:PublishDate[1]" w:storeItemID="{55AF091B-3C7A-41E3-B477-F2FDAA23CFDA}"/>
                              <w:date w:fullDate="2021-08-03T00:00:00Z">
                                <w:dateFormat w:val="d MMMM yyyy"/>
                                <w:lid w:val="en-GB"/>
                                <w:storeMappedDataAs w:val="dateTime"/>
                                <w:calendar w:val="gregorian"/>
                              </w:date>
                            </w:sdtPr>
                            <w:sdtEndPr/>
                            <w:sdtContent>
                              <w:r w:rsidR="00437751">
                                <w:rPr>
                                  <w:sz w:val="12"/>
                                  <w:szCs w:val="12"/>
                                  <w:lang w:val="en-GB"/>
                                </w:rPr>
                                <w:t>3</w:t>
                              </w:r>
                              <w:r w:rsidR="00437751" w:rsidRPr="00743761">
                                <w:rPr>
                                  <w:sz w:val="12"/>
                                  <w:szCs w:val="12"/>
                                  <w:lang w:val="en-GB"/>
                                </w:rPr>
                                <w:t xml:space="preserve"> August 2021</w:t>
                              </w:r>
                            </w:sdtContent>
                          </w:sdt>
                        </w:p>
                        <w:p w14:paraId="3A908E00" w14:textId="77777777" w:rsidR="00493B5C" w:rsidRPr="002C1FBA" w:rsidRDefault="00493B5C" w:rsidP="00615554">
                          <w:pPr>
                            <w:jc w:val="right"/>
                            <w:rPr>
                              <w:rFonts w:cs="Segoe UI"/>
                              <w:color w:val="797979"/>
                              <w:sz w:val="12"/>
                              <w:szCs w:val="1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2D6FE" id="_x0000_t202" coordsize="21600,21600" o:spt="202" path="m,l,21600r21600,l21600,xe">
              <v:stroke joinstyle="miter"/>
              <v:path gradientshapeok="t" o:connecttype="rect"/>
            </v:shapetype>
            <v:shape id="Text Box 2" o:spid="_x0000_s1026" type="#_x0000_t202" style="position:absolute;margin-left:245.5pt;margin-top:.4pt;width:296.7pt;height:9.8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" stroked="f">
              <v:textbox inset="0,0,0,0">
                <w:txbxContent>
                  <w:p w14:paraId="3AFDED97" w14:textId="38ED1449" w:rsidR="00493B5C" w:rsidRPr="002C1FBA" w:rsidRDefault="003E4B09" w:rsidP="00615554">
                    <w:pPr>
                      <w:jc w:val="right"/>
                      <w:rPr>
                        <w:rFonts w:cs="Segoe UI"/>
                        <w:color w:val="797979"/>
                        <w:sz w:val="12"/>
                        <w:szCs w:val="12"/>
                      </w:rPr>
                    </w:pPr>
                    <w:sdt>
                      <w:sdtPr>
                        <w:rPr>
                          <w:sz w:val="12"/>
                          <w:szCs w:val="12"/>
                        </w:rPr>
                        <w:alias w:val="Client Name"/>
                        <w:tag w:val="Client Name"/>
                        <w:id w:val="1688403083"/>
                        <w:text/>
                      </w:sdtPr>
                      <w:sdtEndPr/>
                      <w:sdtContent>
                        <w:r w:rsidR="00493B5C" w:rsidRPr="002D6733">
                          <w:rPr>
                            <w:sz w:val="12"/>
                            <w:szCs w:val="12"/>
                          </w:rPr>
                          <w:t>Royal Blind Group Pension Scheme</w:t>
                        </w:r>
                      </w:sdtContent>
                    </w:sdt>
                    <w:r w:rsidR="00493B5C" w:rsidRPr="002C1FBA">
                      <w:rPr>
                        <w:sz w:val="12"/>
                        <w:szCs w:val="12"/>
                      </w:rPr>
                      <w:t xml:space="preserve"> </w:t>
                    </w:r>
                    <w:r w:rsidR="00493B5C">
                      <w:rPr>
                        <w:sz w:val="12"/>
                        <w:szCs w:val="12"/>
                      </w:rPr>
                      <w:t xml:space="preserve"> </w:t>
                    </w:r>
                    <w:r w:rsidR="00493B5C" w:rsidRPr="002C1FBA">
                      <w:rPr>
                        <w:color w:val="009FE3"/>
                        <w:sz w:val="12"/>
                        <w:szCs w:val="12"/>
                      </w:rPr>
                      <w:t xml:space="preserve"> |   </w:t>
                    </w:r>
                    <w:sdt>
                      <w:sdtPr>
                        <w:rPr>
                          <w:sz w:val="12"/>
                          <w:szCs w:val="12"/>
                        </w:rPr>
                        <w:alias w:val="Title"/>
                        <w:tag w:val=""/>
                        <w:id w:val="-632094615"/>
                        <w:dataBinding w:prefixMappings="xmlns:ns0='http://purl.org/dc/elements/1.1/' xmlns:ns1='http://schemas.openxmlformats.org/package/2006/metadata/core-properties' " w:xpath="/ns1:coreProperties[1]/ns0:title[1]" w:storeItemID="{6C3C8BC8-F283-45AE-878A-BAB7291924A1}"/>
                        <w:text/>
                      </w:sdtPr>
                      <w:sdtEndPr/>
                      <w:sdtContent>
                        <w:r w:rsidR="00493B5C">
                          <w:rPr>
                            <w:sz w:val="12"/>
                            <w:szCs w:val="12"/>
                          </w:rPr>
                          <w:t>Implementation Statement</w:t>
                        </w:r>
                      </w:sdtContent>
                    </w:sdt>
                    <w:r w:rsidR="00493B5C">
                      <w:rPr>
                        <w:sz w:val="12"/>
                        <w:szCs w:val="12"/>
                      </w:rPr>
                      <w:t xml:space="preserve">   </w:t>
                    </w:r>
                    <w:r w:rsidR="00493B5C" w:rsidRPr="002C1FBA">
                      <w:rPr>
                        <w:color w:val="009FE3"/>
                        <w:sz w:val="12"/>
                        <w:szCs w:val="12"/>
                      </w:rPr>
                      <w:t xml:space="preserve">| </w:t>
                    </w:r>
                    <w:r w:rsidR="00493B5C">
                      <w:rPr>
                        <w:sz w:val="12"/>
                        <w:szCs w:val="12"/>
                      </w:rPr>
                      <w:t xml:space="preserve"> </w:t>
                    </w:r>
                    <w:r w:rsidR="00493B5C" w:rsidRPr="002C1FBA">
                      <w:rPr>
                        <w:color w:val="797979"/>
                        <w:sz w:val="12"/>
                        <w:szCs w:val="12"/>
                      </w:rPr>
                      <w:t xml:space="preserve"> </w:t>
                    </w:r>
                    <w:sdt>
                      <w:sdtPr>
                        <w:rPr>
                          <w:sz w:val="12"/>
                          <w:szCs w:val="12"/>
                        </w:rPr>
                        <w:alias w:val="Publish Date"/>
                        <w:tag w:val=""/>
                        <w:id w:val="163674104"/>
                        <w:dataBinding w:prefixMappings="xmlns:ns0='http://schemas.microsoft.com/office/2006/coverPageProps' " w:xpath="/ns0:CoverPageProperties[1]/ns0:PublishDate[1]" w:storeItemID="{55AF091B-3C7A-41E3-B477-F2FDAA23CFDA}"/>
                        <w:date w:fullDate="2021-08-03T00:00:00Z">
                          <w:dateFormat w:val="d MMMM yyyy"/>
                          <w:lid w:val="en-GB"/>
                          <w:storeMappedDataAs w:val="dateTime"/>
                          <w:calendar w:val="gregorian"/>
                        </w:date>
                      </w:sdtPr>
                      <w:sdtContent>
                        <w:r w:rsidR="00437751">
                          <w:rPr>
                            <w:sz w:val="12"/>
                            <w:szCs w:val="12"/>
                            <w:lang w:val="en-GB"/>
                          </w:rPr>
                          <w:t>3</w:t>
                        </w:r>
                        <w:r w:rsidR="00437751" w:rsidRPr="00743761">
                          <w:rPr>
                            <w:sz w:val="12"/>
                            <w:szCs w:val="12"/>
                            <w:lang w:val="en-GB"/>
                          </w:rPr>
                          <w:t xml:space="preserve"> August 2021</w:t>
                        </w:r>
                      </w:sdtContent>
                    </w:sdt>
                  </w:p>
                  <w:p w14:paraId="3A908E00" w14:textId="77777777" w:rsidR="00493B5C" w:rsidRPr="002C1FBA" w:rsidRDefault="00493B5C" w:rsidP="00615554">
                    <w:pPr>
                      <w:jc w:val="right"/>
                      <w:rPr>
                        <w:rFonts w:cs="Segoe UI"/>
                        <w:color w:val="797979"/>
                        <w:sz w:val="12"/>
                        <w:szCs w:val="12"/>
                      </w:rPr>
                    </w:pPr>
                  </w:p>
                </w:txbxContent>
              </v:textbox>
              <w10:wrap type="square" anchorx="margin"/>
            </v:shape>
          </w:pict>
        </mc:Fallback>
      </mc:AlternateContent>
    </w:r>
  </w:p>
  <w:p w14:paraId="28B8BAC7" w14:textId="6FF44326" w:rsidR="00493B5C" w:rsidRPr="00615554" w:rsidRDefault="00493B5C">
    <w:pPr>
      <w:pStyle w:val="Footer"/>
      <w:rPr>
        <w:sz w:val="13"/>
        <w:szCs w:val="13"/>
      </w:rPr>
    </w:pPr>
    <w:r w:rsidRPr="004F015E">
      <w:rPr>
        <w:noProof/>
        <w:color w:val="797979"/>
        <w:sz w:val="13"/>
        <w:szCs w:val="13"/>
        <w:lang w:eastAsia="en-GB"/>
      </w:rPr>
      <mc:AlternateContent>
        <mc:Choice Requires="wps">
          <w:drawing>
            <wp:anchor distT="45720" distB="45720" distL="114300" distR="114300" simplePos="0" relativeHeight="251661312" behindDoc="0" locked="0" layoutInCell="1" allowOverlap="1" wp14:anchorId="763524F6" wp14:editId="6FD7E401">
              <wp:simplePos x="0" y="0"/>
              <wp:positionH relativeFrom="margin">
                <wp:align>right</wp:align>
              </wp:positionH>
              <wp:positionV relativeFrom="paragraph">
                <wp:posOffset>-15240</wp:posOffset>
              </wp:positionV>
              <wp:extent cx="3768090" cy="1404620"/>
              <wp:effectExtent l="0" t="0" r="381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1404620"/>
                      </a:xfrm>
                      <a:prstGeom prst="rect">
                        <a:avLst/>
                      </a:prstGeom>
                      <a:solidFill>
                        <a:srgbClr val="FFFFFF"/>
                      </a:solidFill>
                      <a:ln w="9525">
                        <a:noFill/>
                        <a:miter lim="800000"/>
                        <a:headEnd/>
                        <a:tailEnd/>
                      </a:ln>
                    </wps:spPr>
                    <wps:txbx>
                      <w:txbxContent>
                        <w:p w14:paraId="7D497DF0" w14:textId="319A2CAB" w:rsidR="00493B5C" w:rsidRPr="00F05E01" w:rsidRDefault="00493B5C" w:rsidP="00615554">
                          <w:pPr>
                            <w:jc w:val="right"/>
                            <w:rPr>
                              <w:rFonts w:cs="Segoe UI"/>
                              <w:sz w:val="12"/>
                              <w:szCs w:val="12"/>
                            </w:rPr>
                          </w:pPr>
                          <w:r w:rsidRPr="00F05E01">
                            <w:rPr>
                              <w:sz w:val="12"/>
                              <w:szCs w:val="12"/>
                            </w:rPr>
                            <w:fldChar w:fldCharType="begin"/>
                          </w:r>
                          <w:r w:rsidRPr="00F05E01">
                            <w:rPr>
                              <w:sz w:val="12"/>
                              <w:szCs w:val="12"/>
                            </w:rPr>
                            <w:instrText xml:space="preserve"> PAGE   \* MERGEFORMAT </w:instrText>
                          </w:r>
                          <w:r w:rsidRPr="00F05E01">
                            <w:rPr>
                              <w:sz w:val="12"/>
                              <w:szCs w:val="12"/>
                            </w:rPr>
                            <w:fldChar w:fldCharType="separate"/>
                          </w:r>
                          <w:r w:rsidR="003E081C">
                            <w:rPr>
                              <w:noProof/>
                              <w:sz w:val="12"/>
                              <w:szCs w:val="12"/>
                            </w:rPr>
                            <w:t>4</w:t>
                          </w:r>
                          <w:r w:rsidRPr="00F05E01">
                            <w:rPr>
                              <w:noProof/>
                              <w:sz w:val="12"/>
                              <w:szCs w:val="12"/>
                            </w:rPr>
                            <w:fldChar w:fldCharType="end"/>
                          </w:r>
                          <w:r w:rsidRPr="00F05E01">
                            <w:rPr>
                              <w:noProof/>
                              <w:sz w:val="12"/>
                              <w:szCs w:val="12"/>
                            </w:rPr>
                            <w:t xml:space="preserve"> of </w:t>
                          </w:r>
                          <w:r w:rsidRPr="00F05E01">
                            <w:rPr>
                              <w:noProof/>
                              <w:sz w:val="12"/>
                              <w:szCs w:val="12"/>
                            </w:rPr>
                            <w:fldChar w:fldCharType="begin"/>
                          </w:r>
                          <w:r w:rsidRPr="00F05E01">
                            <w:rPr>
                              <w:noProof/>
                              <w:sz w:val="12"/>
                              <w:szCs w:val="12"/>
                            </w:rPr>
                            <w:instrText xml:space="preserve"> NUMPAGES   \* MERGEFORMAT </w:instrText>
                          </w:r>
                          <w:r w:rsidRPr="00F05E01">
                            <w:rPr>
                              <w:noProof/>
                              <w:sz w:val="12"/>
                              <w:szCs w:val="12"/>
                            </w:rPr>
                            <w:fldChar w:fldCharType="separate"/>
                          </w:r>
                          <w:r w:rsidR="003E081C">
                            <w:rPr>
                              <w:noProof/>
                              <w:sz w:val="12"/>
                              <w:szCs w:val="12"/>
                            </w:rPr>
                            <w:t>4</w:t>
                          </w:r>
                          <w:r w:rsidRPr="00F05E01">
                            <w:rPr>
                              <w:noProof/>
                              <w:sz w:val="12"/>
                              <w:szCs w:val="12"/>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3524F6" id="_x0000_t202" coordsize="21600,21600" o:spt="202" path="m,l,21600r21600,l21600,xe">
              <v:stroke joinstyle="miter"/>
              <v:path gradientshapeok="t" o:connecttype="rect"/>
            </v:shapetype>
            <v:shape id="_x0000_s1027" type="#_x0000_t202" style="position:absolute;margin-left:245.5pt;margin-top:-1.2pt;width:296.7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" stroked="f">
              <v:textbox style="mso-fit-shape-to-text:t" inset="0,0,0,0">
                <w:txbxContent>
                  <w:p w14:paraId="7D497DF0" w14:textId="319A2CAB" w:rsidR="00493B5C" w:rsidRPr="00F05E01" w:rsidRDefault="00493B5C" w:rsidP="00615554">
                    <w:pPr>
                      <w:jc w:val="right"/>
                      <w:rPr>
                        <w:rFonts w:cs="Segoe UI"/>
                        <w:sz w:val="12"/>
                        <w:szCs w:val="12"/>
                      </w:rPr>
                    </w:pPr>
                    <w:r w:rsidRPr="00F05E01">
                      <w:rPr>
                        <w:sz w:val="12"/>
                        <w:szCs w:val="12"/>
                      </w:rPr>
                      <w:fldChar w:fldCharType="begin"/>
                    </w:r>
                    <w:r w:rsidRPr="00F05E01">
                      <w:rPr>
                        <w:sz w:val="12"/>
                        <w:szCs w:val="12"/>
                      </w:rPr>
                      <w:instrText xml:space="preserve"> PAGE   \* MERGEFORMAT </w:instrText>
                    </w:r>
                    <w:r w:rsidRPr="00F05E01">
                      <w:rPr>
                        <w:sz w:val="12"/>
                        <w:szCs w:val="12"/>
                      </w:rPr>
                      <w:fldChar w:fldCharType="separate"/>
                    </w:r>
                    <w:r w:rsidR="003E081C">
                      <w:rPr>
                        <w:noProof/>
                        <w:sz w:val="12"/>
                        <w:szCs w:val="12"/>
                      </w:rPr>
                      <w:t>4</w:t>
                    </w:r>
                    <w:r w:rsidRPr="00F05E01">
                      <w:rPr>
                        <w:noProof/>
                        <w:sz w:val="12"/>
                        <w:szCs w:val="12"/>
                      </w:rPr>
                      <w:fldChar w:fldCharType="end"/>
                    </w:r>
                    <w:r w:rsidRPr="00F05E01">
                      <w:rPr>
                        <w:noProof/>
                        <w:sz w:val="12"/>
                        <w:szCs w:val="12"/>
                      </w:rPr>
                      <w:t xml:space="preserve"> of </w:t>
                    </w:r>
                    <w:r w:rsidRPr="00F05E01">
                      <w:rPr>
                        <w:noProof/>
                        <w:sz w:val="12"/>
                        <w:szCs w:val="12"/>
                      </w:rPr>
                      <w:fldChar w:fldCharType="begin"/>
                    </w:r>
                    <w:r w:rsidRPr="00F05E01">
                      <w:rPr>
                        <w:noProof/>
                        <w:sz w:val="12"/>
                        <w:szCs w:val="12"/>
                      </w:rPr>
                      <w:instrText xml:space="preserve"> NUMPAGES   \* MERGEFORMAT </w:instrText>
                    </w:r>
                    <w:r w:rsidRPr="00F05E01">
                      <w:rPr>
                        <w:noProof/>
                        <w:sz w:val="12"/>
                        <w:szCs w:val="12"/>
                      </w:rPr>
                      <w:fldChar w:fldCharType="separate"/>
                    </w:r>
                    <w:r w:rsidR="003E081C">
                      <w:rPr>
                        <w:noProof/>
                        <w:sz w:val="12"/>
                        <w:szCs w:val="12"/>
                      </w:rPr>
                      <w:t>4</w:t>
                    </w:r>
                    <w:r w:rsidRPr="00F05E01">
                      <w:rPr>
                        <w:noProof/>
                        <w:sz w:val="12"/>
                        <w:szCs w:val="12"/>
                      </w:rPr>
                      <w:fldChar w:fldCharType="end"/>
                    </w:r>
                  </w:p>
                </w:txbxContent>
              </v:textbox>
              <w10:wrap type="square" anchorx="margin"/>
            </v:shape>
          </w:pict>
        </mc:Fallback>
      </mc:AlternateContent>
    </w:r>
    <w:r w:rsidRPr="004F015E">
      <w:rPr>
        <w:noProof/>
        <w:color w:val="797979"/>
        <w:sz w:val="13"/>
        <w:szCs w:val="13"/>
        <w:lang w:eastAsia="en-GB"/>
      </w:rPr>
      <mc:AlternateContent>
        <mc:Choice Requires="wps">
          <w:drawing>
            <wp:anchor distT="45720" distB="45720" distL="114300" distR="114300" simplePos="0" relativeHeight="251659264" behindDoc="0" locked="0" layoutInCell="1" allowOverlap="1" wp14:anchorId="4852F745" wp14:editId="31E4E41D">
              <wp:simplePos x="0" y="0"/>
              <wp:positionH relativeFrom="margin">
                <wp:posOffset>2540</wp:posOffset>
              </wp:positionH>
              <wp:positionV relativeFrom="paragraph">
                <wp:posOffset>-163195</wp:posOffset>
              </wp:positionV>
              <wp:extent cx="930909" cy="181609"/>
              <wp:effectExtent l="0" t="0" r="317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09" cy="181609"/>
                      </a:xfrm>
                      <a:prstGeom prst="rect">
                        <a:avLst/>
                      </a:prstGeom>
                      <a:solidFill>
                        <a:srgbClr val="FFFFFF"/>
                      </a:solidFill>
                      <a:ln w="9525">
                        <a:noFill/>
                        <a:miter lim="800000"/>
                        <a:headEnd/>
                        <a:tailEnd/>
                      </a:ln>
                    </wps:spPr>
                    <wps:txbx>
                      <w:txbxContent>
                        <w:p w14:paraId="234990FA" w14:textId="098C688B" w:rsidR="00493B5C" w:rsidRPr="00F05E01" w:rsidRDefault="00493B5C" w:rsidP="00615554">
                          <w:pPr>
                            <w:rPr>
                              <w:rFonts w:cs="Segoe UI"/>
                              <w:sz w:val="12"/>
                              <w:szCs w:val="12"/>
                            </w:rPr>
                          </w:pPr>
                          <w:r>
                            <w:rPr>
                              <w:rFonts w:cs="Segoe UI"/>
                              <w:sz w:val="12"/>
                              <w:szCs w:val="12"/>
                            </w:rPr>
                            <w:t>Issue 1 – Version 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52F745" id="_x0000_s1028" type="#_x0000_t202" style="position:absolute;margin-left:.2pt;margin-top:-12.85pt;width:73.3pt;height:14.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" stroked="f">
              <v:textbox style="mso-fit-shape-to-text:t" inset="0,0,0,0">
                <w:txbxContent>
                  <w:p w14:paraId="234990FA" w14:textId="098C688B" w:rsidR="00493B5C" w:rsidRPr="00F05E01" w:rsidRDefault="00493B5C" w:rsidP="00615554">
                    <w:pPr>
                      <w:rPr>
                        <w:rFonts w:cs="Segoe UI"/>
                        <w:sz w:val="12"/>
                        <w:szCs w:val="12"/>
                      </w:rPr>
                    </w:pPr>
                    <w:r>
                      <w:rPr>
                        <w:rFonts w:cs="Segoe UI"/>
                        <w:sz w:val="12"/>
                        <w:szCs w:val="12"/>
                      </w:rPr>
                      <w:t>Issue 1 – Version 1</w:t>
                    </w:r>
                  </w:p>
                </w:txbxContent>
              </v:textbox>
              <w10:wrap type="square" anchorx="margin"/>
            </v:shape>
          </w:pict>
        </mc:Fallback>
      </mc:AlternateContent>
    </w:r>
    <w:sdt>
      <w:sdtPr>
        <w:rPr>
          <w:sz w:val="12"/>
          <w:szCs w:val="12"/>
        </w:rPr>
        <w:alias w:val="Document classification"/>
        <w:tag w:val="Document classification"/>
        <w:id w:val="-285582485"/>
        <w:showingPlcHdr/>
        <w:dropDownList>
          <w:listItem w:displayText="CONFIDENTIAL" w:value="CONFIDENTIAL"/>
          <w:listItem w:displayText="RESTRICTED" w:value="RESTRICTED"/>
          <w:listItem w:displayText="PUBLIC" w:value="PUBLIC"/>
          <w:listItem w:displayText="BLANK" w:value=""/>
        </w:dropDownList>
      </w:sdtPr>
      <w:sdtEndPr/>
      <w:sdtContent>
        <w:r>
          <w:rPr>
            <w:sz w:val="12"/>
            <w:szCs w:val="12"/>
          </w:rPr>
          <w:t xml:space="preserve">     </w:t>
        </w:r>
      </w:sdtContent>
    </w:sdt>
    <w:r>
      <w:rPr>
        <w:color w:val="797979"/>
        <w:sz w:val="12"/>
        <w:szCs w:val="12"/>
      </w:rPr>
      <w:t xml:space="preserve">                                                                                                                                                                                                                                                                </w:t>
    </w:r>
    <w:r w:rsidRPr="004F015E">
      <w:rPr>
        <w:noProof/>
        <w:sz w:val="13"/>
        <w:szCs w:val="13"/>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4B2B1" w14:textId="77777777" w:rsidR="00493B5C" w:rsidRDefault="00493B5C" w:rsidP="00615554">
      <w:r>
        <w:separator/>
      </w:r>
    </w:p>
  </w:footnote>
  <w:footnote w:type="continuationSeparator" w:id="0">
    <w:p w14:paraId="261930DD" w14:textId="77777777" w:rsidR="00493B5C" w:rsidRDefault="00493B5C" w:rsidP="00615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9593" w14:textId="77777777" w:rsidR="00493B5C" w:rsidRDefault="00493B5C">
    <w:pPr>
      <w:pStyle w:val="Header"/>
    </w:pPr>
    <w:r>
      <w:rPr>
        <w:noProof/>
        <w:lang w:eastAsia="en-GB"/>
      </w:rPr>
      <w:drawing>
        <wp:anchor distT="0" distB="0" distL="114300" distR="114300" simplePos="0" relativeHeight="251663360" behindDoc="0" locked="0" layoutInCell="1" allowOverlap="1" wp14:anchorId="10C64BE2" wp14:editId="2259DEBE">
          <wp:simplePos x="0" y="0"/>
          <wp:positionH relativeFrom="column">
            <wp:posOffset>0</wp:posOffset>
          </wp:positionH>
          <wp:positionV relativeFrom="paragraph">
            <wp:posOffset>13335</wp:posOffset>
          </wp:positionV>
          <wp:extent cx="1440000" cy="48508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4850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5DEB670"/>
    <w:lvl w:ilvl="0">
      <w:start w:val="1"/>
      <w:numFmt w:val="decimal"/>
      <w:pStyle w:val="ListNumber"/>
      <w:lvlText w:val="%1"/>
      <w:lvlJc w:val="left"/>
      <w:pPr>
        <w:tabs>
          <w:tab w:val="num" w:pos="360"/>
        </w:tabs>
        <w:ind w:left="360" w:hanging="360"/>
      </w:pPr>
      <w:rPr>
        <w:rFonts w:hint="default"/>
        <w:color w:val="009FE3" w:themeColor="background2"/>
      </w:rPr>
    </w:lvl>
  </w:abstractNum>
  <w:abstractNum w:abstractNumId="1" w15:restartNumberingAfterBreak="0">
    <w:nsid w:val="FFFFFF89"/>
    <w:multiLevelType w:val="singleLevel"/>
    <w:tmpl w:val="2492759C"/>
    <w:lvl w:ilvl="0">
      <w:start w:val="1"/>
      <w:numFmt w:val="bullet"/>
      <w:pStyle w:val="ListBullet"/>
      <w:lvlText w:val=""/>
      <w:lvlJc w:val="left"/>
      <w:pPr>
        <w:tabs>
          <w:tab w:val="num" w:pos="360"/>
        </w:tabs>
        <w:ind w:left="360" w:hanging="360"/>
      </w:pPr>
      <w:rPr>
        <w:rFonts w:ascii="Symbol" w:hAnsi="Symbol" w:hint="default"/>
        <w:color w:val="009FE3" w:themeColor="background2"/>
      </w:rPr>
    </w:lvl>
  </w:abstractNum>
  <w:abstractNum w:abstractNumId="2" w15:restartNumberingAfterBreak="0">
    <w:nsid w:val="0060124D"/>
    <w:multiLevelType w:val="hybridMultilevel"/>
    <w:tmpl w:val="8DA8CC18"/>
    <w:lvl w:ilvl="0" w:tplc="C3B6D684">
      <w:start w:val="1"/>
      <w:numFmt w:val="bullet"/>
      <w:lvlText w:val=""/>
      <w:lvlJc w:val="left"/>
      <w:pPr>
        <w:ind w:left="720" w:hanging="360"/>
      </w:pPr>
      <w:rPr>
        <w:rFonts w:ascii="Symbol" w:hAnsi="Symbol" w:hint="default"/>
        <w:color w:val="41C0F0" w:themeColor="accent1"/>
        <w:u w:color="68C0B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01069"/>
    <w:multiLevelType w:val="hybridMultilevel"/>
    <w:tmpl w:val="5F62B5A6"/>
    <w:lvl w:ilvl="0" w:tplc="F0548D8E">
      <w:start w:val="1"/>
      <w:numFmt w:val="bullet"/>
      <w:pStyle w:val="List"/>
      <w:lvlText w:val=""/>
      <w:lvlJc w:val="left"/>
      <w:pPr>
        <w:ind w:left="720" w:hanging="360"/>
      </w:pPr>
      <w:rPr>
        <w:rFonts w:ascii="Symbol" w:hAnsi="Symbol" w:hint="default"/>
        <w:color w:val="009FE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34E2D"/>
    <w:multiLevelType w:val="hybridMultilevel"/>
    <w:tmpl w:val="5A001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40509"/>
    <w:multiLevelType w:val="hybridMultilevel"/>
    <w:tmpl w:val="510821EE"/>
    <w:lvl w:ilvl="0" w:tplc="669E459E">
      <w:start w:val="1"/>
      <w:numFmt w:val="decimal"/>
      <w:pStyle w:val="AppendixHeading"/>
      <w:lvlText w:val="Appendix %1"/>
      <w:lvlJc w:val="left"/>
      <w:pPr>
        <w:ind w:left="360" w:hanging="360"/>
      </w:pPr>
      <w:rPr>
        <w:rFonts w:ascii="Arial Bold" w:cs="Times New Roman" w:hint="cs"/>
        <w:b/>
        <w:bCs w:val="0"/>
        <w:i w:val="0"/>
        <w:iCs w:val="0"/>
        <w:caps w:val="0"/>
        <w:smallCaps w:val="0"/>
        <w:strike w:val="0"/>
        <w:dstrike w:val="0"/>
        <w:noProof w:val="0"/>
        <w:vanish w:val="0"/>
        <w:color w:val="009FE3" w:themeColor="background2"/>
        <w:spacing w:val="0"/>
        <w:kern w:val="0"/>
        <w:position w:val="0"/>
        <w:sz w:val="3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3EAA335E"/>
    <w:multiLevelType w:val="hybridMultilevel"/>
    <w:tmpl w:val="6AB898F6"/>
    <w:lvl w:ilvl="0" w:tplc="B51C8EB2">
      <w:start w:val="1"/>
      <w:numFmt w:val="decimal"/>
      <w:pStyle w:val="NumberedList"/>
      <w:lvlText w:val="%1."/>
      <w:lvlJc w:val="left"/>
      <w:pPr>
        <w:ind w:left="720" w:hanging="360"/>
      </w:pPr>
      <w:rPr>
        <w:rFonts w:ascii="Segoe UI" w:hAnsi="Segoe UI" w:hint="default"/>
        <w:b w:val="0"/>
        <w:i w:val="0"/>
        <w:color w:val="009FE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1E75FE"/>
    <w:multiLevelType w:val="hybridMultilevel"/>
    <w:tmpl w:val="C1241998"/>
    <w:lvl w:ilvl="0" w:tplc="410CCF7C">
      <w:start w:val="1"/>
      <w:numFmt w:val="bullet"/>
      <w:lvlText w:val="•"/>
      <w:lvlJc w:val="left"/>
      <w:pPr>
        <w:tabs>
          <w:tab w:val="num" w:pos="720"/>
        </w:tabs>
        <w:ind w:left="720" w:hanging="360"/>
      </w:pPr>
      <w:rPr>
        <w:rFonts w:ascii="Arial" w:hAnsi="Arial" w:hint="default"/>
      </w:rPr>
    </w:lvl>
    <w:lvl w:ilvl="1" w:tplc="6FA698B0">
      <w:start w:val="1"/>
      <w:numFmt w:val="bullet"/>
      <w:lvlText w:val="•"/>
      <w:lvlJc w:val="left"/>
      <w:pPr>
        <w:tabs>
          <w:tab w:val="num" w:pos="1440"/>
        </w:tabs>
        <w:ind w:left="1440" w:hanging="360"/>
      </w:pPr>
      <w:rPr>
        <w:rFonts w:ascii="Arial" w:hAnsi="Arial" w:hint="default"/>
      </w:rPr>
    </w:lvl>
    <w:lvl w:ilvl="2" w:tplc="275A2150" w:tentative="1">
      <w:start w:val="1"/>
      <w:numFmt w:val="bullet"/>
      <w:lvlText w:val="•"/>
      <w:lvlJc w:val="left"/>
      <w:pPr>
        <w:tabs>
          <w:tab w:val="num" w:pos="2160"/>
        </w:tabs>
        <w:ind w:left="2160" w:hanging="360"/>
      </w:pPr>
      <w:rPr>
        <w:rFonts w:ascii="Arial" w:hAnsi="Arial" w:hint="default"/>
      </w:rPr>
    </w:lvl>
    <w:lvl w:ilvl="3" w:tplc="3AF2DE00" w:tentative="1">
      <w:start w:val="1"/>
      <w:numFmt w:val="bullet"/>
      <w:lvlText w:val="•"/>
      <w:lvlJc w:val="left"/>
      <w:pPr>
        <w:tabs>
          <w:tab w:val="num" w:pos="2880"/>
        </w:tabs>
        <w:ind w:left="2880" w:hanging="360"/>
      </w:pPr>
      <w:rPr>
        <w:rFonts w:ascii="Arial" w:hAnsi="Arial" w:hint="default"/>
      </w:rPr>
    </w:lvl>
    <w:lvl w:ilvl="4" w:tplc="3D88D988" w:tentative="1">
      <w:start w:val="1"/>
      <w:numFmt w:val="bullet"/>
      <w:lvlText w:val="•"/>
      <w:lvlJc w:val="left"/>
      <w:pPr>
        <w:tabs>
          <w:tab w:val="num" w:pos="3600"/>
        </w:tabs>
        <w:ind w:left="3600" w:hanging="360"/>
      </w:pPr>
      <w:rPr>
        <w:rFonts w:ascii="Arial" w:hAnsi="Arial" w:hint="default"/>
      </w:rPr>
    </w:lvl>
    <w:lvl w:ilvl="5" w:tplc="CF4E6840" w:tentative="1">
      <w:start w:val="1"/>
      <w:numFmt w:val="bullet"/>
      <w:lvlText w:val="•"/>
      <w:lvlJc w:val="left"/>
      <w:pPr>
        <w:tabs>
          <w:tab w:val="num" w:pos="4320"/>
        </w:tabs>
        <w:ind w:left="4320" w:hanging="360"/>
      </w:pPr>
      <w:rPr>
        <w:rFonts w:ascii="Arial" w:hAnsi="Arial" w:hint="default"/>
      </w:rPr>
    </w:lvl>
    <w:lvl w:ilvl="6" w:tplc="BDE80BB2" w:tentative="1">
      <w:start w:val="1"/>
      <w:numFmt w:val="bullet"/>
      <w:lvlText w:val="•"/>
      <w:lvlJc w:val="left"/>
      <w:pPr>
        <w:tabs>
          <w:tab w:val="num" w:pos="5040"/>
        </w:tabs>
        <w:ind w:left="5040" w:hanging="360"/>
      </w:pPr>
      <w:rPr>
        <w:rFonts w:ascii="Arial" w:hAnsi="Arial" w:hint="default"/>
      </w:rPr>
    </w:lvl>
    <w:lvl w:ilvl="7" w:tplc="1B4488A4" w:tentative="1">
      <w:start w:val="1"/>
      <w:numFmt w:val="bullet"/>
      <w:lvlText w:val="•"/>
      <w:lvlJc w:val="left"/>
      <w:pPr>
        <w:tabs>
          <w:tab w:val="num" w:pos="5760"/>
        </w:tabs>
        <w:ind w:left="5760" w:hanging="360"/>
      </w:pPr>
      <w:rPr>
        <w:rFonts w:ascii="Arial" w:hAnsi="Arial" w:hint="default"/>
      </w:rPr>
    </w:lvl>
    <w:lvl w:ilvl="8" w:tplc="9552D2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F17E02"/>
    <w:multiLevelType w:val="hybridMultilevel"/>
    <w:tmpl w:val="518A973C"/>
    <w:lvl w:ilvl="0" w:tplc="0D26BCA0">
      <w:start w:val="1"/>
      <w:numFmt w:val="bullet"/>
      <w:lvlText w:val=""/>
      <w:lvlJc w:val="left"/>
      <w:pPr>
        <w:ind w:left="720" w:hanging="360"/>
      </w:pPr>
      <w:rPr>
        <w:rFonts w:ascii="Symbol" w:hAnsi="Symbol" w:hint="default"/>
        <w:color w:val="F687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8C3506"/>
    <w:multiLevelType w:val="hybridMultilevel"/>
    <w:tmpl w:val="CF4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1"/>
  </w:num>
  <w:num w:numId="6">
    <w:abstractNumId w:val="0"/>
  </w:num>
  <w:num w:numId="7">
    <w:abstractNumId w:val="5"/>
  </w:num>
  <w:num w:numId="8">
    <w:abstractNumId w:val="8"/>
  </w:num>
  <w:num w:numId="9">
    <w:abstractNumId w:val="1"/>
  </w:num>
  <w:num w:numId="10">
    <w:abstractNumId w:val="0"/>
  </w:num>
  <w:num w:numId="11">
    <w:abstractNumId w:val="5"/>
  </w:num>
  <w:num w:numId="12">
    <w:abstractNumId w:val="8"/>
  </w:num>
  <w:num w:numId="13">
    <w:abstractNumId w:val="1"/>
  </w:num>
  <w:num w:numId="14">
    <w:abstractNumId w:val="0"/>
  </w:num>
  <w:num w:numId="15">
    <w:abstractNumId w:val="5"/>
  </w:num>
  <w:num w:numId="16">
    <w:abstractNumId w:val="3"/>
  </w:num>
  <w:num w:numId="17">
    <w:abstractNumId w:val="6"/>
  </w:num>
  <w:num w:numId="18">
    <w:abstractNumId w:val="4"/>
  </w:num>
  <w:num w:numId="19">
    <w:abstractNumId w:val="7"/>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9F"/>
    <w:rsid w:val="000221F1"/>
    <w:rsid w:val="000615E9"/>
    <w:rsid w:val="000646F4"/>
    <w:rsid w:val="000B39E9"/>
    <w:rsid w:val="00175B10"/>
    <w:rsid w:val="001919F9"/>
    <w:rsid w:val="001D606F"/>
    <w:rsid w:val="001E4663"/>
    <w:rsid w:val="00207A15"/>
    <w:rsid w:val="00226672"/>
    <w:rsid w:val="002479F2"/>
    <w:rsid w:val="002B2947"/>
    <w:rsid w:val="002D359D"/>
    <w:rsid w:val="002D6733"/>
    <w:rsid w:val="002E2A25"/>
    <w:rsid w:val="00357995"/>
    <w:rsid w:val="00387550"/>
    <w:rsid w:val="003A10EF"/>
    <w:rsid w:val="003E081C"/>
    <w:rsid w:val="003E4B09"/>
    <w:rsid w:val="00436FC8"/>
    <w:rsid w:val="00437751"/>
    <w:rsid w:val="00440CC2"/>
    <w:rsid w:val="00441051"/>
    <w:rsid w:val="0046306A"/>
    <w:rsid w:val="004759B5"/>
    <w:rsid w:val="00476225"/>
    <w:rsid w:val="00493B5C"/>
    <w:rsid w:val="004A3ADE"/>
    <w:rsid w:val="004B57B9"/>
    <w:rsid w:val="004C20B1"/>
    <w:rsid w:val="004E0ACA"/>
    <w:rsid w:val="005414B9"/>
    <w:rsid w:val="005B48AC"/>
    <w:rsid w:val="005F5026"/>
    <w:rsid w:val="005F7843"/>
    <w:rsid w:val="00611A42"/>
    <w:rsid w:val="00615554"/>
    <w:rsid w:val="00633B3A"/>
    <w:rsid w:val="006520A2"/>
    <w:rsid w:val="00663A37"/>
    <w:rsid w:val="00671084"/>
    <w:rsid w:val="0067576B"/>
    <w:rsid w:val="00693791"/>
    <w:rsid w:val="006B3AA9"/>
    <w:rsid w:val="00740E4E"/>
    <w:rsid w:val="00743761"/>
    <w:rsid w:val="00752572"/>
    <w:rsid w:val="00754D05"/>
    <w:rsid w:val="007662CC"/>
    <w:rsid w:val="007706BD"/>
    <w:rsid w:val="007710EB"/>
    <w:rsid w:val="007C46B0"/>
    <w:rsid w:val="007F4127"/>
    <w:rsid w:val="00800DEA"/>
    <w:rsid w:val="008520B4"/>
    <w:rsid w:val="008E2605"/>
    <w:rsid w:val="008F2430"/>
    <w:rsid w:val="008F4F59"/>
    <w:rsid w:val="0094279F"/>
    <w:rsid w:val="00965216"/>
    <w:rsid w:val="009D0539"/>
    <w:rsid w:val="00A32DCC"/>
    <w:rsid w:val="00A57FEB"/>
    <w:rsid w:val="00B629DC"/>
    <w:rsid w:val="00BD7CCD"/>
    <w:rsid w:val="00C3595E"/>
    <w:rsid w:val="00CF25DF"/>
    <w:rsid w:val="00CF4CBE"/>
    <w:rsid w:val="00D32F2B"/>
    <w:rsid w:val="00DD7BEB"/>
    <w:rsid w:val="00E72F2F"/>
    <w:rsid w:val="00E9578F"/>
    <w:rsid w:val="00EB5CDA"/>
    <w:rsid w:val="00EC4E7F"/>
    <w:rsid w:val="00F05E01"/>
    <w:rsid w:val="00F05FAB"/>
    <w:rsid w:val="00F37C6C"/>
    <w:rsid w:val="00FB4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B22C17"/>
  <w15:chartTrackingRefBased/>
  <w15:docId w15:val="{5777E08D-5971-4354-9BAF-65FD475F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1"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5"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no spacing)"/>
    <w:qFormat/>
    <w:rsid w:val="00F05FAB"/>
    <w:pPr>
      <w:spacing w:after="0" w:line="240" w:lineRule="auto"/>
    </w:pPr>
    <w:rPr>
      <w:rFonts w:ascii="Segoe UI" w:hAnsi="Segoe UI"/>
      <w:szCs w:val="24"/>
      <w:lang w:val="en-US" w:bidi="en-US"/>
    </w:rPr>
  </w:style>
  <w:style w:type="paragraph" w:styleId="Heading1">
    <w:name w:val="heading 1"/>
    <w:basedOn w:val="Normal"/>
    <w:next w:val="BodyText"/>
    <w:link w:val="Heading1Char"/>
    <w:qFormat/>
    <w:rsid w:val="00207A15"/>
    <w:pPr>
      <w:keepNext/>
      <w:spacing w:before="240" w:after="240"/>
      <w:outlineLvl w:val="0"/>
    </w:pPr>
    <w:rPr>
      <w:rFonts w:ascii="Segoe UI Semibold" w:eastAsiaTheme="majorEastAsia" w:hAnsi="Segoe UI Semibold"/>
      <w:bCs/>
      <w:color w:val="0069B4"/>
      <w:kern w:val="32"/>
      <w:sz w:val="36"/>
      <w:szCs w:val="32"/>
      <w:lang w:val="en-GB" w:bidi="ar-SA"/>
    </w:rPr>
  </w:style>
  <w:style w:type="paragraph" w:styleId="Heading2">
    <w:name w:val="heading 2"/>
    <w:basedOn w:val="Normal"/>
    <w:next w:val="BodyText"/>
    <w:link w:val="Heading2Char"/>
    <w:qFormat/>
    <w:rsid w:val="00207A15"/>
    <w:pPr>
      <w:keepNext/>
      <w:spacing w:before="240" w:after="120"/>
      <w:outlineLvl w:val="1"/>
    </w:pPr>
    <w:rPr>
      <w:rFonts w:ascii="Segoe UI Semibold" w:eastAsiaTheme="majorEastAsia" w:hAnsi="Segoe UI Semibold"/>
      <w:bCs/>
      <w:iCs/>
      <w:color w:val="009FE3"/>
      <w:sz w:val="28"/>
      <w:szCs w:val="28"/>
      <w:lang w:val="en-GB" w:bidi="ar-SA"/>
    </w:rPr>
  </w:style>
  <w:style w:type="paragraph" w:styleId="Heading3">
    <w:name w:val="heading 3"/>
    <w:basedOn w:val="Normal"/>
    <w:next w:val="BodyText"/>
    <w:link w:val="Heading3Char"/>
    <w:qFormat/>
    <w:rsid w:val="00740E4E"/>
    <w:pPr>
      <w:keepNext/>
      <w:spacing w:before="240" w:after="60"/>
      <w:outlineLvl w:val="2"/>
    </w:pPr>
    <w:rPr>
      <w:rFonts w:ascii="Segoe UI Semibold" w:eastAsiaTheme="majorEastAsia" w:hAnsi="Segoe UI Semibold"/>
      <w:bCs/>
      <w:color w:val="68C0B5" w:themeColor="accent5"/>
      <w:sz w:val="24"/>
      <w:szCs w:val="26"/>
      <w:lang w:val="en-GB" w:bidi="ar-SA"/>
    </w:rPr>
  </w:style>
  <w:style w:type="paragraph" w:styleId="Heading5">
    <w:name w:val="heading 5"/>
    <w:basedOn w:val="Normal"/>
    <w:next w:val="Normal"/>
    <w:link w:val="Heading5Char"/>
    <w:uiPriority w:val="9"/>
    <w:semiHidden/>
    <w:unhideWhenUsed/>
    <w:qFormat/>
    <w:rsid w:val="000646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646F4"/>
    <w:pPr>
      <w:spacing w:before="240" w:after="60"/>
      <w:outlineLvl w:val="5"/>
    </w:pPr>
    <w:rPr>
      <w:b/>
      <w:bCs/>
    </w:rPr>
  </w:style>
  <w:style w:type="paragraph" w:styleId="Heading7">
    <w:name w:val="heading 7"/>
    <w:basedOn w:val="Normal"/>
    <w:next w:val="Normal"/>
    <w:link w:val="Heading7Char"/>
    <w:uiPriority w:val="9"/>
    <w:semiHidden/>
    <w:unhideWhenUsed/>
    <w:qFormat/>
    <w:rsid w:val="000646F4"/>
    <w:pPr>
      <w:spacing w:before="240" w:after="60"/>
      <w:outlineLvl w:val="6"/>
    </w:pPr>
    <w:rPr>
      <w:sz w:val="24"/>
    </w:rPr>
  </w:style>
  <w:style w:type="paragraph" w:styleId="Heading8">
    <w:name w:val="heading 8"/>
    <w:basedOn w:val="Normal"/>
    <w:next w:val="Normal"/>
    <w:link w:val="Heading8Char"/>
    <w:uiPriority w:val="9"/>
    <w:semiHidden/>
    <w:unhideWhenUsed/>
    <w:qFormat/>
    <w:rsid w:val="000646F4"/>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0646F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FrontPageScheme">
    <w:name w:val="bwFrontPageScheme"/>
    <w:basedOn w:val="Normal"/>
    <w:uiPriority w:val="4"/>
    <w:rsid w:val="000646F4"/>
    <w:pPr>
      <w:jc w:val="right"/>
    </w:pPr>
    <w:rPr>
      <w:b/>
      <w:color w:val="00446A"/>
      <w:sz w:val="64"/>
    </w:rPr>
  </w:style>
  <w:style w:type="paragraph" w:customStyle="1" w:styleId="bwFrontPageJob">
    <w:name w:val="bwFrontPageJob"/>
    <w:basedOn w:val="Normal"/>
    <w:uiPriority w:val="4"/>
    <w:rsid w:val="000646F4"/>
    <w:pPr>
      <w:jc w:val="right"/>
    </w:pPr>
    <w:rPr>
      <w:color w:val="00446A"/>
      <w:sz w:val="36"/>
    </w:rPr>
  </w:style>
  <w:style w:type="paragraph" w:customStyle="1" w:styleId="bwFrontPageDetails">
    <w:name w:val="bwFrontPageDetails"/>
    <w:basedOn w:val="Normal"/>
    <w:uiPriority w:val="4"/>
    <w:rsid w:val="000646F4"/>
    <w:pPr>
      <w:spacing w:before="60"/>
      <w:jc w:val="right"/>
    </w:pPr>
    <w:rPr>
      <w:color w:val="00446A"/>
      <w:sz w:val="28"/>
    </w:rPr>
  </w:style>
  <w:style w:type="paragraph" w:customStyle="1" w:styleId="bwFrontPageDate">
    <w:name w:val="bwFrontPageDate"/>
    <w:basedOn w:val="Normal"/>
    <w:uiPriority w:val="4"/>
    <w:rsid w:val="000646F4"/>
    <w:pPr>
      <w:spacing w:before="240"/>
      <w:jc w:val="right"/>
    </w:pPr>
    <w:rPr>
      <w:color w:val="00446A"/>
    </w:rPr>
  </w:style>
  <w:style w:type="paragraph" w:customStyle="1" w:styleId="AppendixHeading">
    <w:name w:val="Appendix Heading"/>
    <w:basedOn w:val="Normal"/>
    <w:next w:val="AppendixBodyText"/>
    <w:uiPriority w:val="2"/>
    <w:rsid w:val="000646F4"/>
    <w:pPr>
      <w:pageBreakBefore/>
      <w:numPr>
        <w:numId w:val="15"/>
      </w:numPr>
      <w:spacing w:before="240" w:after="240"/>
    </w:pPr>
    <w:rPr>
      <w:b/>
      <w:color w:val="009FE3" w:themeColor="background2"/>
      <w:sz w:val="36"/>
    </w:rPr>
  </w:style>
  <w:style w:type="paragraph" w:customStyle="1" w:styleId="bwFooterLeft">
    <w:name w:val="bwFooterLeft"/>
    <w:basedOn w:val="bwFooterRight"/>
    <w:uiPriority w:val="3"/>
    <w:rsid w:val="007710EB"/>
    <w:pPr>
      <w:jc w:val="left"/>
    </w:pPr>
  </w:style>
  <w:style w:type="paragraph" w:customStyle="1" w:styleId="bwFooterRight">
    <w:name w:val="bwFooterRight"/>
    <w:basedOn w:val="Normal"/>
    <w:uiPriority w:val="3"/>
    <w:rsid w:val="007710EB"/>
    <w:pPr>
      <w:jc w:val="right"/>
    </w:pPr>
    <w:rPr>
      <w:color w:val="797979"/>
      <w:sz w:val="13"/>
      <w:szCs w:val="22"/>
    </w:rPr>
  </w:style>
  <w:style w:type="paragraph" w:customStyle="1" w:styleId="AppendixBodyText">
    <w:name w:val="Appendix Body Text"/>
    <w:basedOn w:val="Normal"/>
    <w:link w:val="AppendixBodyTextChar"/>
    <w:uiPriority w:val="2"/>
    <w:rsid w:val="000646F4"/>
    <w:pPr>
      <w:spacing w:after="200"/>
      <w:jc w:val="both"/>
    </w:pPr>
  </w:style>
  <w:style w:type="character" w:customStyle="1" w:styleId="AppendixBodyTextChar">
    <w:name w:val="Appendix Body Text Char"/>
    <w:basedOn w:val="DefaultParagraphFont"/>
    <w:link w:val="AppendixBodyText"/>
    <w:uiPriority w:val="2"/>
    <w:rsid w:val="000646F4"/>
    <w:rPr>
      <w:rFonts w:ascii="Segoe UI" w:hAnsi="Segoe UI"/>
    </w:rPr>
  </w:style>
  <w:style w:type="paragraph" w:customStyle="1" w:styleId="Subject">
    <w:name w:val="Subject"/>
    <w:basedOn w:val="Normal"/>
    <w:next w:val="BodyText"/>
    <w:link w:val="SubjectChar"/>
    <w:rsid w:val="002B2947"/>
    <w:pPr>
      <w:spacing w:after="300"/>
      <w:contextualSpacing/>
    </w:pPr>
    <w:rPr>
      <w:rFonts w:cstheme="minorBidi"/>
      <w:color w:val="009FE3"/>
      <w:sz w:val="22"/>
      <w:szCs w:val="22"/>
      <w:lang w:val="en-GB" w:bidi="ar-SA"/>
    </w:rPr>
  </w:style>
  <w:style w:type="character" w:customStyle="1" w:styleId="SubjectChar">
    <w:name w:val="Subject Char"/>
    <w:basedOn w:val="DefaultParagraphFont"/>
    <w:link w:val="Subject"/>
    <w:rsid w:val="002B2947"/>
    <w:rPr>
      <w:rFonts w:ascii="Segoe UI" w:hAnsi="Segoe UI" w:cstheme="minorBidi"/>
      <w:color w:val="009FE3"/>
      <w:sz w:val="22"/>
      <w:szCs w:val="22"/>
    </w:rPr>
  </w:style>
  <w:style w:type="paragraph" w:styleId="BodyText">
    <w:name w:val="Body Text"/>
    <w:aliases w:val="bt,bt + Arial,10 pt,Bold,Indigo,Left:  0 cm,Hanging:  1 cm"/>
    <w:basedOn w:val="Normal"/>
    <w:link w:val="BodyTextChar"/>
    <w:qFormat/>
    <w:rsid w:val="000646F4"/>
    <w:pPr>
      <w:spacing w:after="200"/>
      <w:jc w:val="both"/>
    </w:pPr>
    <w:rPr>
      <w:szCs w:val="20"/>
      <w:lang w:val="en-GB" w:bidi="ar-SA"/>
    </w:rPr>
  </w:style>
  <w:style w:type="character" w:customStyle="1" w:styleId="BodyTextChar">
    <w:name w:val="Body Text Char"/>
    <w:aliases w:val="bt Char,bt + Arial Char,10 pt Char,Bold Char,Indigo Char,Left:  0 cm Char,Hanging:  1 cm Char"/>
    <w:basedOn w:val="DefaultParagraphFont"/>
    <w:link w:val="BodyText"/>
    <w:rsid w:val="000646F4"/>
    <w:rPr>
      <w:rFonts w:ascii="Segoe UI" w:hAnsi="Segoe UI"/>
    </w:rPr>
  </w:style>
  <w:style w:type="paragraph" w:customStyle="1" w:styleId="AppendixListBullet">
    <w:name w:val="Appendix List Bullet"/>
    <w:basedOn w:val="ListBullet"/>
    <w:uiPriority w:val="2"/>
    <w:semiHidden/>
    <w:qFormat/>
    <w:rsid w:val="000646F4"/>
    <w:pPr>
      <w:numPr>
        <w:numId w:val="0"/>
      </w:numPr>
    </w:pPr>
  </w:style>
  <w:style w:type="paragraph" w:styleId="ListBullet">
    <w:name w:val="List Bullet"/>
    <w:basedOn w:val="Normal"/>
    <w:uiPriority w:val="1"/>
    <w:semiHidden/>
    <w:qFormat/>
    <w:rsid w:val="000646F4"/>
    <w:pPr>
      <w:numPr>
        <w:numId w:val="13"/>
      </w:numPr>
      <w:spacing w:after="240" w:line="276" w:lineRule="auto"/>
      <w:contextualSpacing/>
    </w:pPr>
    <w:rPr>
      <w:szCs w:val="20"/>
      <w:lang w:val="en-GB" w:bidi="ar-SA"/>
    </w:rPr>
  </w:style>
  <w:style w:type="paragraph" w:customStyle="1" w:styleId="AppendixListNumber">
    <w:name w:val="Appendix List Number"/>
    <w:basedOn w:val="ListNumber"/>
    <w:uiPriority w:val="2"/>
    <w:semiHidden/>
    <w:qFormat/>
    <w:rsid w:val="000646F4"/>
    <w:pPr>
      <w:numPr>
        <w:numId w:val="0"/>
      </w:numPr>
    </w:pPr>
  </w:style>
  <w:style w:type="paragraph" w:styleId="ListNumber">
    <w:name w:val="List Number"/>
    <w:basedOn w:val="Normal"/>
    <w:uiPriority w:val="1"/>
    <w:semiHidden/>
    <w:qFormat/>
    <w:rsid w:val="000646F4"/>
    <w:pPr>
      <w:numPr>
        <w:numId w:val="14"/>
      </w:numPr>
      <w:tabs>
        <w:tab w:val="clear" w:pos="360"/>
      </w:tabs>
      <w:spacing w:after="240" w:line="276" w:lineRule="auto"/>
      <w:ind w:left="2268" w:hanging="2268"/>
      <w:contextualSpacing/>
    </w:pPr>
    <w:rPr>
      <w:szCs w:val="20"/>
      <w:lang w:val="en-GB" w:bidi="ar-SA"/>
    </w:rPr>
  </w:style>
  <w:style w:type="paragraph" w:customStyle="1" w:styleId="AppendixSubheading">
    <w:name w:val="Appendix Subheading"/>
    <w:basedOn w:val="Normal"/>
    <w:next w:val="AppendixBodyText"/>
    <w:uiPriority w:val="2"/>
    <w:rsid w:val="000646F4"/>
    <w:pPr>
      <w:spacing w:before="240" w:after="120"/>
    </w:pPr>
    <w:rPr>
      <w:b/>
      <w:color w:val="009FE3" w:themeColor="background2"/>
      <w:sz w:val="28"/>
    </w:rPr>
  </w:style>
  <w:style w:type="paragraph" w:customStyle="1" w:styleId="LetterSubheading">
    <w:name w:val="Letter Subheading"/>
    <w:basedOn w:val="Subject"/>
    <w:next w:val="BodyText"/>
    <w:link w:val="LetterSubheadingChar"/>
    <w:uiPriority w:val="1"/>
    <w:qFormat/>
    <w:rsid w:val="00D32F2B"/>
    <w:pPr>
      <w:spacing w:after="120"/>
    </w:pPr>
  </w:style>
  <w:style w:type="character" w:customStyle="1" w:styleId="LetterSubheadingChar">
    <w:name w:val="Letter Subheading Char"/>
    <w:basedOn w:val="SubjectChar"/>
    <w:link w:val="LetterSubheading"/>
    <w:uiPriority w:val="1"/>
    <w:rsid w:val="00D32F2B"/>
    <w:rPr>
      <w:rFonts w:ascii="Segoe UI" w:hAnsi="Segoe UI" w:cstheme="minorBidi"/>
      <w:b w:val="0"/>
      <w:color w:val="009FE3"/>
      <w:sz w:val="22"/>
      <w:szCs w:val="22"/>
    </w:rPr>
  </w:style>
  <w:style w:type="paragraph" w:customStyle="1" w:styleId="bwTableText">
    <w:name w:val="bwTableText"/>
    <w:basedOn w:val="NoSpacing"/>
    <w:qFormat/>
    <w:rsid w:val="000646F4"/>
    <w:pPr>
      <w:keepNext/>
    </w:pPr>
  </w:style>
  <w:style w:type="paragraph" w:styleId="NoSpacing">
    <w:name w:val="No Spacing"/>
    <w:basedOn w:val="Normal"/>
    <w:link w:val="NoSpacingChar"/>
    <w:qFormat/>
    <w:rsid w:val="000646F4"/>
    <w:rPr>
      <w:szCs w:val="32"/>
      <w:lang w:val="en-GB" w:bidi="ar-SA"/>
    </w:rPr>
  </w:style>
  <w:style w:type="character" w:customStyle="1" w:styleId="Heading1Char">
    <w:name w:val="Heading 1 Char"/>
    <w:basedOn w:val="DefaultParagraphFont"/>
    <w:link w:val="Heading1"/>
    <w:rsid w:val="00207A15"/>
    <w:rPr>
      <w:rFonts w:ascii="Segoe UI Semibold" w:eastAsiaTheme="majorEastAsia" w:hAnsi="Segoe UI Semibold"/>
      <w:bCs/>
      <w:color w:val="0069B4"/>
      <w:kern w:val="32"/>
      <w:sz w:val="36"/>
      <w:szCs w:val="32"/>
    </w:rPr>
  </w:style>
  <w:style w:type="character" w:customStyle="1" w:styleId="Heading2Char">
    <w:name w:val="Heading 2 Char"/>
    <w:basedOn w:val="DefaultParagraphFont"/>
    <w:link w:val="Heading2"/>
    <w:rsid w:val="00207A15"/>
    <w:rPr>
      <w:rFonts w:ascii="Segoe UI Semibold" w:eastAsiaTheme="majorEastAsia" w:hAnsi="Segoe UI Semibold"/>
      <w:bCs/>
      <w:iCs/>
      <w:color w:val="009FE3"/>
      <w:sz w:val="28"/>
      <w:szCs w:val="28"/>
    </w:rPr>
  </w:style>
  <w:style w:type="character" w:customStyle="1" w:styleId="Heading3Char">
    <w:name w:val="Heading 3 Char"/>
    <w:basedOn w:val="DefaultParagraphFont"/>
    <w:link w:val="Heading3"/>
    <w:rsid w:val="00740E4E"/>
    <w:rPr>
      <w:rFonts w:ascii="Segoe UI Semibold" w:eastAsiaTheme="majorEastAsia" w:hAnsi="Segoe UI Semibold"/>
      <w:bCs/>
      <w:color w:val="68C0B5" w:themeColor="accent5"/>
      <w:sz w:val="24"/>
      <w:szCs w:val="26"/>
    </w:rPr>
  </w:style>
  <w:style w:type="character" w:customStyle="1" w:styleId="Heading5Char">
    <w:name w:val="Heading 5 Char"/>
    <w:basedOn w:val="DefaultParagraphFont"/>
    <w:link w:val="Heading5"/>
    <w:uiPriority w:val="9"/>
    <w:semiHidden/>
    <w:rsid w:val="000646F4"/>
    <w:rPr>
      <w:rFonts w:ascii="Segoe UI" w:hAnsi="Segoe UI"/>
      <w:b/>
      <w:bCs/>
      <w:i/>
      <w:iCs/>
      <w:sz w:val="26"/>
      <w:szCs w:val="26"/>
    </w:rPr>
  </w:style>
  <w:style w:type="character" w:customStyle="1" w:styleId="Heading6Char">
    <w:name w:val="Heading 6 Char"/>
    <w:basedOn w:val="DefaultParagraphFont"/>
    <w:link w:val="Heading6"/>
    <w:uiPriority w:val="9"/>
    <w:semiHidden/>
    <w:rsid w:val="000646F4"/>
    <w:rPr>
      <w:rFonts w:ascii="Segoe UI" w:hAnsi="Segoe UI"/>
      <w:b/>
      <w:bCs/>
    </w:rPr>
  </w:style>
  <w:style w:type="character" w:customStyle="1" w:styleId="Heading7Char">
    <w:name w:val="Heading 7 Char"/>
    <w:basedOn w:val="DefaultParagraphFont"/>
    <w:link w:val="Heading7"/>
    <w:uiPriority w:val="9"/>
    <w:semiHidden/>
    <w:rsid w:val="000646F4"/>
    <w:rPr>
      <w:rFonts w:ascii="Segoe UI" w:hAnsi="Segoe UI"/>
      <w:sz w:val="24"/>
      <w:szCs w:val="24"/>
    </w:rPr>
  </w:style>
  <w:style w:type="character" w:customStyle="1" w:styleId="Heading8Char">
    <w:name w:val="Heading 8 Char"/>
    <w:basedOn w:val="DefaultParagraphFont"/>
    <w:link w:val="Heading8"/>
    <w:uiPriority w:val="9"/>
    <w:semiHidden/>
    <w:rsid w:val="000646F4"/>
    <w:rPr>
      <w:rFonts w:ascii="Segoe UI" w:hAnsi="Segoe UI"/>
      <w:i/>
      <w:iCs/>
      <w:sz w:val="24"/>
      <w:szCs w:val="24"/>
    </w:rPr>
  </w:style>
  <w:style w:type="character" w:customStyle="1" w:styleId="Heading9Char">
    <w:name w:val="Heading 9 Char"/>
    <w:basedOn w:val="DefaultParagraphFont"/>
    <w:link w:val="Heading9"/>
    <w:uiPriority w:val="9"/>
    <w:semiHidden/>
    <w:rsid w:val="000646F4"/>
    <w:rPr>
      <w:rFonts w:asciiTheme="majorHAnsi" w:eastAsiaTheme="majorEastAsia" w:hAnsiTheme="majorHAnsi"/>
    </w:rPr>
  </w:style>
  <w:style w:type="paragraph" w:styleId="List">
    <w:name w:val="List"/>
    <w:basedOn w:val="Normal"/>
    <w:link w:val="ListChar"/>
    <w:qFormat/>
    <w:rsid w:val="000646F4"/>
    <w:pPr>
      <w:numPr>
        <w:numId w:val="16"/>
      </w:numPr>
      <w:spacing w:after="200" w:line="276" w:lineRule="auto"/>
      <w:contextualSpacing/>
    </w:pPr>
    <w:rPr>
      <w:szCs w:val="20"/>
      <w:lang w:val="en-GB" w:bidi="ar-SA"/>
    </w:rPr>
  </w:style>
  <w:style w:type="paragraph" w:styleId="Title">
    <w:name w:val="Title"/>
    <w:basedOn w:val="Normal"/>
    <w:next w:val="Heading1"/>
    <w:link w:val="TitleChar"/>
    <w:uiPriority w:val="2"/>
    <w:qFormat/>
    <w:rsid w:val="000646F4"/>
    <w:pPr>
      <w:spacing w:before="240" w:after="720"/>
      <w:jc w:val="center"/>
    </w:pPr>
    <w:rPr>
      <w:b/>
      <w:color w:val="009FE3" w:themeColor="background2"/>
      <w:sz w:val="44"/>
      <w:szCs w:val="44"/>
      <w:lang w:val="en-GB" w:bidi="ar-SA"/>
    </w:rPr>
  </w:style>
  <w:style w:type="character" w:customStyle="1" w:styleId="TitleChar">
    <w:name w:val="Title Char"/>
    <w:basedOn w:val="DefaultParagraphFont"/>
    <w:link w:val="Title"/>
    <w:uiPriority w:val="2"/>
    <w:rsid w:val="000646F4"/>
    <w:rPr>
      <w:rFonts w:ascii="Segoe UI" w:hAnsi="Segoe UI"/>
      <w:b/>
      <w:color w:val="009FE3" w:themeColor="background2"/>
      <w:sz w:val="44"/>
      <w:szCs w:val="44"/>
    </w:rPr>
  </w:style>
  <w:style w:type="paragraph" w:styleId="Closing">
    <w:name w:val="Closing"/>
    <w:basedOn w:val="Normal"/>
    <w:link w:val="ClosingChar"/>
    <w:uiPriority w:val="1"/>
    <w:qFormat/>
    <w:rsid w:val="000646F4"/>
    <w:pPr>
      <w:spacing w:before="360" w:after="840"/>
    </w:pPr>
    <w:rPr>
      <w:szCs w:val="20"/>
      <w:lang w:val="en-GB" w:bidi="ar-SA"/>
    </w:rPr>
  </w:style>
  <w:style w:type="character" w:customStyle="1" w:styleId="ClosingChar">
    <w:name w:val="Closing Char"/>
    <w:basedOn w:val="DefaultParagraphFont"/>
    <w:link w:val="Closing"/>
    <w:uiPriority w:val="1"/>
    <w:rsid w:val="000646F4"/>
    <w:rPr>
      <w:rFonts w:ascii="Segoe UI" w:hAnsi="Segoe UI"/>
    </w:rPr>
  </w:style>
  <w:style w:type="paragraph" w:styleId="Signature">
    <w:name w:val="Signature"/>
    <w:basedOn w:val="Normal"/>
    <w:link w:val="SignatureChar"/>
    <w:qFormat/>
    <w:rsid w:val="000646F4"/>
    <w:rPr>
      <w:rFonts w:cstheme="minorBidi"/>
      <w:b/>
      <w:szCs w:val="22"/>
      <w:lang w:val="en-GB" w:bidi="ar-SA"/>
    </w:rPr>
  </w:style>
  <w:style w:type="character" w:customStyle="1" w:styleId="SignatureChar">
    <w:name w:val="Signature Char"/>
    <w:basedOn w:val="DefaultParagraphFont"/>
    <w:link w:val="Signature"/>
    <w:rsid w:val="000646F4"/>
    <w:rPr>
      <w:rFonts w:ascii="Segoe UI" w:hAnsi="Segoe UI" w:cstheme="minorBidi"/>
      <w:b/>
      <w:szCs w:val="22"/>
    </w:rPr>
  </w:style>
  <w:style w:type="paragraph" w:styleId="Salutation">
    <w:name w:val="Salutation"/>
    <w:basedOn w:val="Normal"/>
    <w:next w:val="Normal"/>
    <w:link w:val="SalutationChar"/>
    <w:uiPriority w:val="1"/>
    <w:rsid w:val="000646F4"/>
    <w:pPr>
      <w:spacing w:after="240"/>
    </w:pPr>
  </w:style>
  <w:style w:type="character" w:customStyle="1" w:styleId="SalutationChar">
    <w:name w:val="Salutation Char"/>
    <w:basedOn w:val="DefaultParagraphFont"/>
    <w:link w:val="Salutation"/>
    <w:uiPriority w:val="1"/>
    <w:rsid w:val="000646F4"/>
    <w:rPr>
      <w:rFonts w:ascii="Segoe UI" w:hAnsi="Segoe UI"/>
    </w:rPr>
  </w:style>
  <w:style w:type="paragraph" w:styleId="Date">
    <w:name w:val="Date"/>
    <w:basedOn w:val="Normal"/>
    <w:next w:val="Normal"/>
    <w:link w:val="DateChar"/>
    <w:uiPriority w:val="1"/>
    <w:qFormat/>
    <w:rsid w:val="000646F4"/>
    <w:pPr>
      <w:jc w:val="right"/>
    </w:pPr>
    <w:rPr>
      <w:sz w:val="22"/>
      <w:szCs w:val="20"/>
      <w:lang w:val="en-GB" w:bidi="ar-SA"/>
    </w:rPr>
  </w:style>
  <w:style w:type="character" w:customStyle="1" w:styleId="DateChar">
    <w:name w:val="Date Char"/>
    <w:basedOn w:val="DefaultParagraphFont"/>
    <w:link w:val="Date"/>
    <w:uiPriority w:val="1"/>
    <w:rsid w:val="000646F4"/>
    <w:rPr>
      <w:rFonts w:ascii="Segoe UI" w:hAnsi="Segoe UI"/>
      <w:sz w:val="22"/>
    </w:rPr>
  </w:style>
  <w:style w:type="paragraph" w:styleId="BodyText2">
    <w:name w:val="Body Text 2"/>
    <w:basedOn w:val="BodyText"/>
    <w:link w:val="BodyText2Char"/>
    <w:uiPriority w:val="99"/>
    <w:semiHidden/>
    <w:qFormat/>
    <w:rsid w:val="000646F4"/>
  </w:style>
  <w:style w:type="character" w:customStyle="1" w:styleId="BodyText2Char">
    <w:name w:val="Body Text 2 Char"/>
    <w:basedOn w:val="DefaultParagraphFont"/>
    <w:link w:val="BodyText2"/>
    <w:uiPriority w:val="99"/>
    <w:semiHidden/>
    <w:rsid w:val="000646F4"/>
    <w:rPr>
      <w:rFonts w:ascii="Segoe UI" w:hAnsi="Segoe UI"/>
    </w:rPr>
  </w:style>
  <w:style w:type="character" w:styleId="Hyperlink">
    <w:name w:val="Hyperlink"/>
    <w:basedOn w:val="DefaultParagraphFont"/>
    <w:uiPriority w:val="1"/>
    <w:unhideWhenUsed/>
    <w:qFormat/>
    <w:rsid w:val="00D32F2B"/>
    <w:rPr>
      <w:rFonts w:ascii="Segoe UI" w:hAnsi="Segoe UI"/>
      <w:color w:val="009FE3"/>
      <w:sz w:val="20"/>
      <w:u w:val="single"/>
    </w:rPr>
  </w:style>
  <w:style w:type="character" w:customStyle="1" w:styleId="NoSpacingChar">
    <w:name w:val="No Spacing Char"/>
    <w:basedOn w:val="DefaultParagraphFont"/>
    <w:link w:val="NoSpacing"/>
    <w:rsid w:val="000646F4"/>
    <w:rPr>
      <w:rFonts w:ascii="Segoe UI" w:hAnsi="Segoe UI"/>
      <w:szCs w:val="32"/>
    </w:rPr>
  </w:style>
  <w:style w:type="paragraph" w:styleId="TOCHeading">
    <w:name w:val="TOC Heading"/>
    <w:next w:val="Normal"/>
    <w:uiPriority w:val="5"/>
    <w:rsid w:val="000646F4"/>
    <w:pPr>
      <w:keepNext/>
      <w:spacing w:before="200"/>
    </w:pPr>
    <w:rPr>
      <w:rFonts w:ascii="Segoe UI" w:eastAsiaTheme="majorEastAsia" w:hAnsi="Segoe UI"/>
      <w:b/>
      <w:bCs/>
      <w:color w:val="009FE3" w:themeColor="background2"/>
      <w:kern w:val="32"/>
      <w:sz w:val="36"/>
      <w:szCs w:val="32"/>
    </w:rPr>
  </w:style>
  <w:style w:type="paragraph" w:customStyle="1" w:styleId="NumberedList">
    <w:name w:val="Numbered List"/>
    <w:basedOn w:val="List"/>
    <w:link w:val="NumberedListChar"/>
    <w:qFormat/>
    <w:rsid w:val="000221F1"/>
    <w:pPr>
      <w:numPr>
        <w:numId w:val="17"/>
      </w:numPr>
    </w:pPr>
  </w:style>
  <w:style w:type="paragraph" w:customStyle="1" w:styleId="Frontpageheader1">
    <w:name w:val="Front page header 1"/>
    <w:basedOn w:val="Heading1"/>
    <w:link w:val="Frontpageheader1Char"/>
    <w:qFormat/>
    <w:rsid w:val="00207A15"/>
    <w:rPr>
      <w:sz w:val="56"/>
      <w:szCs w:val="56"/>
    </w:rPr>
  </w:style>
  <w:style w:type="character" w:customStyle="1" w:styleId="ListChar">
    <w:name w:val="List Char"/>
    <w:basedOn w:val="DefaultParagraphFont"/>
    <w:link w:val="List"/>
    <w:rsid w:val="000221F1"/>
    <w:rPr>
      <w:rFonts w:ascii="Segoe UI" w:hAnsi="Segoe UI"/>
    </w:rPr>
  </w:style>
  <w:style w:type="character" w:customStyle="1" w:styleId="NumberedListChar">
    <w:name w:val="Numbered List Char"/>
    <w:basedOn w:val="ListChar"/>
    <w:link w:val="NumberedList"/>
    <w:rsid w:val="000221F1"/>
    <w:rPr>
      <w:rFonts w:ascii="Segoe UI" w:hAnsi="Segoe UI"/>
    </w:rPr>
  </w:style>
  <w:style w:type="paragraph" w:customStyle="1" w:styleId="Frontpagedetails">
    <w:name w:val="Front page details"/>
    <w:basedOn w:val="Frontpageheader1"/>
    <w:link w:val="FrontpagedetailsChar"/>
    <w:qFormat/>
    <w:rsid w:val="00CF25DF"/>
    <w:rPr>
      <w:color w:val="797979"/>
      <w:sz w:val="24"/>
      <w:szCs w:val="36"/>
    </w:rPr>
  </w:style>
  <w:style w:type="character" w:customStyle="1" w:styleId="Frontpageheader1Char">
    <w:name w:val="Front page header 1 Char"/>
    <w:basedOn w:val="Heading1Char"/>
    <w:link w:val="Frontpageheader1"/>
    <w:rsid w:val="00207A15"/>
    <w:rPr>
      <w:rFonts w:ascii="Segoe UI Semibold" w:eastAsiaTheme="majorEastAsia" w:hAnsi="Segoe UI Semibold"/>
      <w:bCs/>
      <w:color w:val="0069B4"/>
      <w:kern w:val="32"/>
      <w:sz w:val="56"/>
      <w:szCs w:val="56"/>
    </w:rPr>
  </w:style>
  <w:style w:type="paragraph" w:customStyle="1" w:styleId="Frontpagedate">
    <w:name w:val="Front page date"/>
    <w:basedOn w:val="Frontpagedetails"/>
    <w:link w:val="FrontpagedateChar"/>
    <w:qFormat/>
    <w:rsid w:val="00CF25DF"/>
    <w:rPr>
      <w:sz w:val="16"/>
    </w:rPr>
  </w:style>
  <w:style w:type="character" w:customStyle="1" w:styleId="FrontpagedetailsChar">
    <w:name w:val="Front page details Char"/>
    <w:basedOn w:val="Frontpageheader1Char"/>
    <w:link w:val="Frontpagedetails"/>
    <w:rsid w:val="00CF25DF"/>
    <w:rPr>
      <w:rFonts w:ascii="Segoe UI" w:eastAsiaTheme="majorEastAsia" w:hAnsi="Segoe UI"/>
      <w:bCs/>
      <w:color w:val="797979"/>
      <w:kern w:val="32"/>
      <w:sz w:val="24"/>
      <w:szCs w:val="36"/>
    </w:rPr>
  </w:style>
  <w:style w:type="table" w:customStyle="1" w:styleId="bwTable">
    <w:name w:val="bwTable"/>
    <w:basedOn w:val="TableNormal"/>
    <w:uiPriority w:val="99"/>
    <w:qFormat/>
    <w:rsid w:val="00DD7BEB"/>
    <w:pPr>
      <w:spacing w:after="0" w:line="240" w:lineRule="auto"/>
    </w:pPr>
    <w:rPr>
      <w:lang w:val="en-US" w:bidi="en-US"/>
    </w:rPr>
    <w:tblPr>
      <w:tblStyleRowBandSize w:val="1"/>
      <w:tblStyleColBandSize w:val="1"/>
      <w:tblBorders>
        <w:top w:val="single" w:sz="4" w:space="0" w:color="009FE3" w:themeColor="background2"/>
        <w:left w:val="single" w:sz="4" w:space="0" w:color="009FE3" w:themeColor="background2"/>
        <w:bottom w:val="single" w:sz="4" w:space="0" w:color="009FE3" w:themeColor="background2"/>
        <w:right w:val="single" w:sz="4" w:space="0" w:color="009FE3" w:themeColor="background2"/>
        <w:insideH w:val="single" w:sz="4" w:space="0" w:color="009FE3" w:themeColor="background2"/>
        <w:insideV w:val="single" w:sz="4" w:space="0" w:color="009FE3" w:themeColor="background2"/>
      </w:tblBorders>
      <w:tblCellMar>
        <w:top w:w="108" w:type="dxa"/>
        <w:bottom w:w="108" w:type="dxa"/>
      </w:tblCellMar>
    </w:tblPr>
    <w:tcPr>
      <w:vAlign w:val="center"/>
    </w:tcPr>
    <w:tblStylePr w:type="firstRow">
      <w:rPr>
        <w:b w:val="0"/>
        <w:color w:val="41C0F0" w:themeColor="accent1"/>
      </w:rPr>
      <w:tblPr/>
      <w:tcPr>
        <w:tcBorders>
          <w:top w:val="single" w:sz="4" w:space="0" w:color="41C0F0" w:themeColor="accent1"/>
          <w:left w:val="nil"/>
          <w:bottom w:val="single" w:sz="4" w:space="0" w:color="41C0F0" w:themeColor="accent1"/>
          <w:right w:val="nil"/>
          <w:insideH w:val="nil"/>
          <w:insideV w:val="nil"/>
          <w:tl2br w:val="nil"/>
          <w:tr2bl w:val="nil"/>
        </w:tcBorders>
      </w:tcPr>
    </w:tblStylePr>
    <w:tblStylePr w:type="lastRow">
      <w:tblPr/>
      <w:tcPr>
        <w:tcBorders>
          <w:top w:val="single" w:sz="4" w:space="0" w:color="BFBFBF" w:themeColor="background1" w:themeShade="BF"/>
          <w:left w:val="nil"/>
          <w:bottom w:val="nil"/>
          <w:right w:val="nil"/>
          <w:insideH w:val="nil"/>
          <w:insideV w:val="nil"/>
          <w:tl2br w:val="nil"/>
          <w:tr2bl w:val="nil"/>
        </w:tcBorders>
      </w:tcPr>
    </w:tblStylePr>
    <w:tblStylePr w:type="band1Horz">
      <w:tblPr/>
      <w:tcPr>
        <w:tcBorders>
          <w:top w:val="single" w:sz="4" w:space="0" w:color="BFBFBF" w:themeColor="background1" w:themeShade="BF"/>
          <w:left w:val="nil"/>
          <w:bottom w:val="nil"/>
          <w:right w:val="nil"/>
          <w:insideH w:val="nil"/>
          <w:insideV w:val="nil"/>
          <w:tl2br w:val="nil"/>
          <w:tr2bl w:val="nil"/>
        </w:tcBorders>
      </w:tcPr>
    </w:tblStylePr>
    <w:tblStylePr w:type="band2Horz">
      <w:tblPr/>
      <w:tcPr>
        <w:tcBorders>
          <w:top w:val="single" w:sz="4" w:space="0" w:color="BFBFBF" w:themeColor="background1" w:themeShade="BF"/>
          <w:left w:val="nil"/>
          <w:bottom w:val="nil"/>
          <w:right w:val="nil"/>
          <w:insideH w:val="nil"/>
          <w:insideV w:val="nil"/>
          <w:tl2br w:val="nil"/>
          <w:tr2bl w:val="nil"/>
        </w:tcBorders>
      </w:tcPr>
    </w:tblStylePr>
  </w:style>
  <w:style w:type="character" w:customStyle="1" w:styleId="FrontpagedateChar">
    <w:name w:val="Front page date Char"/>
    <w:basedOn w:val="FrontpagedetailsChar"/>
    <w:link w:val="Frontpagedate"/>
    <w:rsid w:val="00CF25DF"/>
    <w:rPr>
      <w:rFonts w:ascii="Segoe UI" w:eastAsiaTheme="majorEastAsia" w:hAnsi="Segoe UI"/>
      <w:bCs/>
      <w:color w:val="797979"/>
      <w:kern w:val="32"/>
      <w:sz w:val="16"/>
      <w:szCs w:val="36"/>
    </w:rPr>
  </w:style>
  <w:style w:type="paragraph" w:styleId="Header">
    <w:name w:val="header"/>
    <w:basedOn w:val="Normal"/>
    <w:link w:val="HeaderChar"/>
    <w:uiPriority w:val="99"/>
    <w:unhideWhenUsed/>
    <w:rsid w:val="00615554"/>
    <w:pPr>
      <w:tabs>
        <w:tab w:val="center" w:pos="4513"/>
        <w:tab w:val="right" w:pos="9026"/>
      </w:tabs>
    </w:pPr>
    <w:rPr>
      <w:szCs w:val="20"/>
      <w:lang w:val="en-GB" w:bidi="ar-SA"/>
    </w:rPr>
  </w:style>
  <w:style w:type="character" w:customStyle="1" w:styleId="HeaderChar">
    <w:name w:val="Header Char"/>
    <w:basedOn w:val="DefaultParagraphFont"/>
    <w:link w:val="Header"/>
    <w:uiPriority w:val="99"/>
    <w:rsid w:val="00615554"/>
    <w:rPr>
      <w:rFonts w:ascii="Segoe UI" w:hAnsi="Segoe UI"/>
    </w:rPr>
  </w:style>
  <w:style w:type="paragraph" w:styleId="Footer">
    <w:name w:val="footer"/>
    <w:basedOn w:val="Normal"/>
    <w:link w:val="FooterChar"/>
    <w:uiPriority w:val="99"/>
    <w:unhideWhenUsed/>
    <w:rsid w:val="00615554"/>
    <w:pPr>
      <w:tabs>
        <w:tab w:val="center" w:pos="4513"/>
        <w:tab w:val="right" w:pos="9026"/>
      </w:tabs>
    </w:pPr>
    <w:rPr>
      <w:szCs w:val="20"/>
      <w:lang w:val="en-GB" w:bidi="ar-SA"/>
    </w:rPr>
  </w:style>
  <w:style w:type="character" w:customStyle="1" w:styleId="FooterChar">
    <w:name w:val="Footer Char"/>
    <w:basedOn w:val="DefaultParagraphFont"/>
    <w:link w:val="Footer"/>
    <w:uiPriority w:val="99"/>
    <w:rsid w:val="00615554"/>
    <w:rPr>
      <w:rFonts w:ascii="Segoe UI" w:hAnsi="Segoe UI"/>
    </w:rPr>
  </w:style>
  <w:style w:type="character" w:styleId="PlaceholderText">
    <w:name w:val="Placeholder Text"/>
    <w:basedOn w:val="DefaultParagraphFont"/>
    <w:uiPriority w:val="99"/>
    <w:semiHidden/>
    <w:rsid w:val="00615554"/>
    <w:rPr>
      <w:color w:val="808080"/>
    </w:rPr>
  </w:style>
  <w:style w:type="table" w:styleId="TableGrid">
    <w:name w:val="Table Grid"/>
    <w:basedOn w:val="TableNormal"/>
    <w:uiPriority w:val="59"/>
    <w:rsid w:val="00207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0A2"/>
    <w:rPr>
      <w:sz w:val="16"/>
      <w:szCs w:val="16"/>
    </w:rPr>
  </w:style>
  <w:style w:type="paragraph" w:styleId="CommentText">
    <w:name w:val="annotation text"/>
    <w:basedOn w:val="Normal"/>
    <w:link w:val="CommentTextChar"/>
    <w:uiPriority w:val="99"/>
    <w:semiHidden/>
    <w:unhideWhenUsed/>
    <w:rsid w:val="006520A2"/>
    <w:rPr>
      <w:szCs w:val="20"/>
    </w:rPr>
  </w:style>
  <w:style w:type="character" w:customStyle="1" w:styleId="CommentTextChar">
    <w:name w:val="Comment Text Char"/>
    <w:basedOn w:val="DefaultParagraphFont"/>
    <w:link w:val="CommentText"/>
    <w:uiPriority w:val="99"/>
    <w:semiHidden/>
    <w:rsid w:val="006520A2"/>
    <w:rPr>
      <w:rFonts w:ascii="Segoe UI" w:hAnsi="Segoe UI"/>
      <w:lang w:val="en-US" w:bidi="en-US"/>
    </w:rPr>
  </w:style>
  <w:style w:type="paragraph" w:styleId="CommentSubject">
    <w:name w:val="annotation subject"/>
    <w:basedOn w:val="CommentText"/>
    <w:next w:val="CommentText"/>
    <w:link w:val="CommentSubjectChar"/>
    <w:uiPriority w:val="99"/>
    <w:semiHidden/>
    <w:unhideWhenUsed/>
    <w:rsid w:val="006520A2"/>
    <w:rPr>
      <w:b/>
      <w:bCs/>
    </w:rPr>
  </w:style>
  <w:style w:type="character" w:customStyle="1" w:styleId="CommentSubjectChar">
    <w:name w:val="Comment Subject Char"/>
    <w:basedOn w:val="CommentTextChar"/>
    <w:link w:val="CommentSubject"/>
    <w:uiPriority w:val="99"/>
    <w:semiHidden/>
    <w:rsid w:val="006520A2"/>
    <w:rPr>
      <w:rFonts w:ascii="Segoe UI" w:hAnsi="Segoe UI"/>
      <w:b/>
      <w:bCs/>
      <w:lang w:val="en-US" w:bidi="en-US"/>
    </w:rPr>
  </w:style>
  <w:style w:type="paragraph" w:styleId="BalloonText">
    <w:name w:val="Balloon Text"/>
    <w:basedOn w:val="Normal"/>
    <w:link w:val="BalloonTextChar"/>
    <w:uiPriority w:val="99"/>
    <w:semiHidden/>
    <w:unhideWhenUsed/>
    <w:rsid w:val="006520A2"/>
    <w:rPr>
      <w:rFonts w:cs="Segoe UI"/>
      <w:sz w:val="18"/>
      <w:szCs w:val="18"/>
    </w:rPr>
  </w:style>
  <w:style w:type="character" w:customStyle="1" w:styleId="BalloonTextChar">
    <w:name w:val="Balloon Text Char"/>
    <w:basedOn w:val="DefaultParagraphFont"/>
    <w:link w:val="BalloonText"/>
    <w:uiPriority w:val="99"/>
    <w:semiHidden/>
    <w:rsid w:val="006520A2"/>
    <w:rPr>
      <w:rFonts w:ascii="Segoe UI" w:hAnsi="Segoe UI" w:cs="Segoe UI"/>
      <w:sz w:val="18"/>
      <w:szCs w:val="18"/>
      <w:lang w:val="en-US" w:bidi="en-US"/>
    </w:rPr>
  </w:style>
  <w:style w:type="paragraph" w:styleId="Revision">
    <w:name w:val="Revision"/>
    <w:hidden/>
    <w:uiPriority w:val="99"/>
    <w:semiHidden/>
    <w:rsid w:val="00437751"/>
    <w:pPr>
      <w:spacing w:after="0" w:line="240" w:lineRule="auto"/>
    </w:pPr>
    <w:rPr>
      <w:rFonts w:ascii="Segoe UI" w:hAnsi="Segoe UI"/>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598191">
      <w:bodyDiv w:val="1"/>
      <w:marLeft w:val="0"/>
      <w:marRight w:val="0"/>
      <w:marTop w:val="0"/>
      <w:marBottom w:val="0"/>
      <w:divBdr>
        <w:top w:val="none" w:sz="0" w:space="0" w:color="auto"/>
        <w:left w:val="none" w:sz="0" w:space="0" w:color="auto"/>
        <w:bottom w:val="none" w:sz="0" w:space="0" w:color="auto"/>
        <w:right w:val="none" w:sz="0" w:space="0" w:color="auto"/>
      </w:divBdr>
    </w:div>
    <w:div w:id="1529445386">
      <w:bodyDiv w:val="1"/>
      <w:marLeft w:val="0"/>
      <w:marRight w:val="0"/>
      <w:marTop w:val="0"/>
      <w:marBottom w:val="0"/>
      <w:divBdr>
        <w:top w:val="none" w:sz="0" w:space="0" w:color="auto"/>
        <w:left w:val="none" w:sz="0" w:space="0" w:color="auto"/>
        <w:bottom w:val="none" w:sz="0" w:space="0" w:color="auto"/>
        <w:right w:val="none" w:sz="0" w:space="0" w:color="auto"/>
      </w:divBdr>
    </w:div>
    <w:div w:id="1998534644">
      <w:bodyDiv w:val="1"/>
      <w:marLeft w:val="0"/>
      <w:marRight w:val="0"/>
      <w:marTop w:val="0"/>
      <w:marBottom w:val="0"/>
      <w:divBdr>
        <w:top w:val="none" w:sz="0" w:space="0" w:color="auto"/>
        <w:left w:val="none" w:sz="0" w:space="0" w:color="auto"/>
        <w:bottom w:val="none" w:sz="0" w:space="0" w:color="auto"/>
        <w:right w:val="none" w:sz="0" w:space="0" w:color="auto"/>
      </w:divBdr>
      <w:divsChild>
        <w:div w:id="1556964753">
          <w:marLeft w:val="878"/>
          <w:marRight w:val="0"/>
          <w:marTop w:val="43"/>
          <w:marBottom w:val="0"/>
          <w:divBdr>
            <w:top w:val="none" w:sz="0" w:space="0" w:color="auto"/>
            <w:left w:val="none" w:sz="0" w:space="0" w:color="auto"/>
            <w:bottom w:val="none" w:sz="0" w:space="0" w:color="auto"/>
            <w:right w:val="none" w:sz="0" w:space="0" w:color="auto"/>
          </w:divBdr>
        </w:div>
        <w:div w:id="464855709">
          <w:marLeft w:val="878"/>
          <w:marRight w:val="0"/>
          <w:marTop w:val="43"/>
          <w:marBottom w:val="0"/>
          <w:divBdr>
            <w:top w:val="none" w:sz="0" w:space="0" w:color="auto"/>
            <w:left w:val="none" w:sz="0" w:space="0" w:color="auto"/>
            <w:bottom w:val="none" w:sz="0" w:space="0" w:color="auto"/>
            <w:right w:val="none" w:sz="0" w:space="0" w:color="auto"/>
          </w:divBdr>
        </w:div>
        <w:div w:id="759915395">
          <w:marLeft w:val="878"/>
          <w:marRight w:val="0"/>
          <w:marTop w:val="43"/>
          <w:marBottom w:val="0"/>
          <w:divBdr>
            <w:top w:val="none" w:sz="0" w:space="0" w:color="auto"/>
            <w:left w:val="none" w:sz="0" w:space="0" w:color="auto"/>
            <w:bottom w:val="none" w:sz="0" w:space="0" w:color="auto"/>
            <w:right w:val="none" w:sz="0" w:space="0" w:color="auto"/>
          </w:divBdr>
        </w:div>
        <w:div w:id="3671749">
          <w:marLeft w:val="878"/>
          <w:marRight w:val="0"/>
          <w:marTop w:val="43"/>
          <w:marBottom w:val="0"/>
          <w:divBdr>
            <w:top w:val="none" w:sz="0" w:space="0" w:color="auto"/>
            <w:left w:val="none" w:sz="0" w:space="0" w:color="auto"/>
            <w:bottom w:val="none" w:sz="0" w:space="0" w:color="auto"/>
            <w:right w:val="none" w:sz="0" w:space="0" w:color="auto"/>
          </w:divBdr>
        </w:div>
        <w:div w:id="812606005">
          <w:marLeft w:val="878"/>
          <w:marRight w:val="0"/>
          <w:marTop w:val="43"/>
          <w:marBottom w:val="0"/>
          <w:divBdr>
            <w:top w:val="none" w:sz="0" w:space="0" w:color="auto"/>
            <w:left w:val="none" w:sz="0" w:space="0" w:color="auto"/>
            <w:bottom w:val="none" w:sz="0" w:space="0" w:color="auto"/>
            <w:right w:val="none" w:sz="0" w:space="0" w:color="auto"/>
          </w:divBdr>
        </w:div>
        <w:div w:id="1714965581">
          <w:marLeft w:val="878"/>
          <w:marRight w:val="0"/>
          <w:marTop w:val="43"/>
          <w:marBottom w:val="0"/>
          <w:divBdr>
            <w:top w:val="none" w:sz="0" w:space="0" w:color="auto"/>
            <w:left w:val="none" w:sz="0" w:space="0" w:color="auto"/>
            <w:bottom w:val="none" w:sz="0" w:space="0" w:color="auto"/>
            <w:right w:val="none" w:sz="0" w:space="0" w:color="auto"/>
          </w:divBdr>
        </w:div>
        <w:div w:id="1749887752">
          <w:marLeft w:val="878"/>
          <w:marRight w:val="0"/>
          <w:marTop w:val="4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w-wan\files\templates\Office%20Templates\bwSmallReport.dotx" TargetMode="External"/></Relationships>
</file>

<file path=word/theme/theme1.xml><?xml version="1.0" encoding="utf-8"?>
<a:theme xmlns:a="http://schemas.openxmlformats.org/drawingml/2006/main" name="Barnett Waddingham">
  <a:themeElements>
    <a:clrScheme name="Barnett Waddingham">
      <a:dk1>
        <a:sysClr val="windowText" lastClr="000000"/>
      </a:dk1>
      <a:lt1>
        <a:sysClr val="window" lastClr="FFFFFF"/>
      </a:lt1>
      <a:dk2>
        <a:srgbClr val="0069B4"/>
      </a:dk2>
      <a:lt2>
        <a:srgbClr val="009FE3"/>
      </a:lt2>
      <a:accent1>
        <a:srgbClr val="41C0F0"/>
      </a:accent1>
      <a:accent2>
        <a:srgbClr val="A1DAF8"/>
      </a:accent2>
      <a:accent3>
        <a:srgbClr val="797979"/>
      </a:accent3>
      <a:accent4>
        <a:srgbClr val="C0C0C0"/>
      </a:accent4>
      <a:accent5>
        <a:srgbClr val="68C0B5"/>
      </a:accent5>
      <a:accent6>
        <a:srgbClr val="F5DE7A"/>
      </a:accent6>
      <a:hlink>
        <a:srgbClr val="1192D1"/>
      </a:hlink>
      <a:folHlink>
        <a:srgbClr val="4B08A1"/>
      </a:folHlink>
    </a:clrScheme>
    <a:fontScheme name="Custom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2021-08-03T00:00:00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bwSmallReport</Template>
  <TotalTime>5</TotalTime>
  <Pages>4</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Implementation Statement</vt:lpstr>
    </vt:vector>
  </TitlesOfParts>
  <Company>Barnett Waddingham</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Statement</dc:title>
  <dc:subject/>
  <dc:creator>Eva Grace</dc:creator>
  <cp:keywords/>
  <dc:description/>
  <cp:lastModifiedBy>Christian Ah-See</cp:lastModifiedBy>
  <cp:revision>4</cp:revision>
  <cp:lastPrinted>2021-08-03T11:09:00Z</cp:lastPrinted>
  <dcterms:created xsi:type="dcterms:W3CDTF">2021-08-03T11:09:00Z</dcterms:created>
  <dcterms:modified xsi:type="dcterms:W3CDTF">2021-09-08T07:27:00Z</dcterms:modified>
</cp:coreProperties>
</file>