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8E62" w14:textId="77777777" w:rsidR="00701CE7" w:rsidRPr="008E67BD" w:rsidRDefault="00701CE7" w:rsidP="00701CE7">
      <w:pPr>
        <w:rPr>
          <w:b/>
          <w:sz w:val="28"/>
          <w:szCs w:val="24"/>
        </w:rPr>
      </w:pPr>
      <w:r w:rsidRPr="008E67BD">
        <w:rPr>
          <w:rFonts w:eastAsia="Calibri"/>
          <w:b/>
          <w:noProof/>
          <w:sz w:val="28"/>
          <w:szCs w:val="28"/>
          <w:lang w:eastAsia="en-GB"/>
        </w:rPr>
        <w:drawing>
          <wp:anchor distT="0" distB="0" distL="114300" distR="114300" simplePos="0" relativeHeight="251656704" behindDoc="1" locked="0" layoutInCell="1" allowOverlap="1" wp14:anchorId="71AA9C57" wp14:editId="393CBBCE">
            <wp:simplePos x="0" y="0"/>
            <wp:positionH relativeFrom="margin">
              <wp:posOffset>2876550</wp:posOffset>
            </wp:positionH>
            <wp:positionV relativeFrom="paragraph">
              <wp:posOffset>0</wp:posOffset>
            </wp:positionV>
            <wp:extent cx="2943860" cy="361315"/>
            <wp:effectExtent l="0" t="0" r="8890" b="635"/>
            <wp:wrapTight wrapText="bothSides">
              <wp:wrapPolygon edited="0">
                <wp:start x="0" y="0"/>
                <wp:lineTo x="0" y="20499"/>
                <wp:lineTo x="21525" y="20499"/>
                <wp:lineTo x="21525" y="0"/>
                <wp:lineTo x="0" y="0"/>
              </wp:wrapPolygon>
            </wp:wrapTight>
            <wp:docPr id="2" name="Picture 2" descr="ScottishWarBli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WarBlind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86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7BD">
        <w:rPr>
          <w:rFonts w:eastAsia="Times New Roman"/>
          <w:b/>
          <w:bCs/>
          <w:noProof/>
          <w:color w:val="000000"/>
          <w:szCs w:val="24"/>
          <w:lang w:eastAsia="en-GB"/>
        </w:rPr>
        <w:drawing>
          <wp:inline distT="0" distB="0" distL="0" distR="0" wp14:anchorId="69FD8D99" wp14:editId="3F2E1686">
            <wp:extent cx="2299335" cy="405130"/>
            <wp:effectExtent l="0" t="0" r="5715" b="0"/>
            <wp:docPr id="12" name="Picture 12" descr="Royal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Blin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9335" cy="405130"/>
                    </a:xfrm>
                    <a:prstGeom prst="rect">
                      <a:avLst/>
                    </a:prstGeom>
                    <a:noFill/>
                    <a:ln>
                      <a:noFill/>
                    </a:ln>
                  </pic:spPr>
                </pic:pic>
              </a:graphicData>
            </a:graphic>
          </wp:inline>
        </w:drawing>
      </w:r>
    </w:p>
    <w:p w14:paraId="2E6E00B9" w14:textId="77777777" w:rsidR="003269E1" w:rsidRDefault="003269E1" w:rsidP="00EF0C57">
      <w:pPr>
        <w:jc w:val="center"/>
        <w:rPr>
          <w:b/>
          <w:sz w:val="32"/>
          <w:szCs w:val="24"/>
        </w:rPr>
      </w:pPr>
    </w:p>
    <w:p w14:paraId="4D1E78BF" w14:textId="77777777" w:rsidR="00A07FD5" w:rsidRDefault="00A07FD5" w:rsidP="00EF0C57">
      <w:pPr>
        <w:jc w:val="center"/>
        <w:rPr>
          <w:b/>
          <w:sz w:val="32"/>
          <w:szCs w:val="24"/>
        </w:rPr>
      </w:pPr>
    </w:p>
    <w:p w14:paraId="250B126D" w14:textId="77777777" w:rsidR="00DC328D" w:rsidRDefault="0019207D" w:rsidP="00EF0C57">
      <w:pPr>
        <w:jc w:val="center"/>
        <w:rPr>
          <w:b/>
          <w:sz w:val="32"/>
          <w:szCs w:val="24"/>
        </w:rPr>
      </w:pPr>
      <w:r>
        <w:rPr>
          <w:b/>
          <w:sz w:val="32"/>
          <w:szCs w:val="24"/>
        </w:rPr>
        <w:t>2019</w:t>
      </w:r>
      <w:r w:rsidR="003213CE" w:rsidRPr="008E67BD">
        <w:rPr>
          <w:b/>
          <w:sz w:val="32"/>
          <w:szCs w:val="24"/>
        </w:rPr>
        <w:t xml:space="preserve"> </w:t>
      </w:r>
      <w:r w:rsidR="00EF0C57" w:rsidRPr="008E67BD">
        <w:rPr>
          <w:b/>
          <w:sz w:val="32"/>
          <w:szCs w:val="24"/>
        </w:rPr>
        <w:t xml:space="preserve">Gender </w:t>
      </w:r>
      <w:r w:rsidR="008E67BD" w:rsidRPr="008E67BD">
        <w:rPr>
          <w:b/>
          <w:sz w:val="32"/>
          <w:szCs w:val="24"/>
        </w:rPr>
        <w:t>P</w:t>
      </w:r>
      <w:r w:rsidR="00EF0C57" w:rsidRPr="008E67BD">
        <w:rPr>
          <w:b/>
          <w:sz w:val="32"/>
          <w:szCs w:val="24"/>
        </w:rPr>
        <w:t xml:space="preserve">ay </w:t>
      </w:r>
      <w:r w:rsidR="008E67BD" w:rsidRPr="008E67BD">
        <w:rPr>
          <w:b/>
          <w:sz w:val="32"/>
          <w:szCs w:val="24"/>
        </w:rPr>
        <w:t>G</w:t>
      </w:r>
      <w:r w:rsidR="00EF0C57" w:rsidRPr="008E67BD">
        <w:rPr>
          <w:b/>
          <w:sz w:val="32"/>
          <w:szCs w:val="24"/>
        </w:rPr>
        <w:t xml:space="preserve">ap </w:t>
      </w:r>
      <w:r w:rsidR="008E67BD" w:rsidRPr="008E67BD">
        <w:rPr>
          <w:b/>
          <w:sz w:val="32"/>
          <w:szCs w:val="24"/>
        </w:rPr>
        <w:t>R</w:t>
      </w:r>
      <w:r w:rsidR="00EF0C57" w:rsidRPr="008E67BD">
        <w:rPr>
          <w:b/>
          <w:sz w:val="32"/>
          <w:szCs w:val="24"/>
        </w:rPr>
        <w:t>eport</w:t>
      </w:r>
    </w:p>
    <w:p w14:paraId="34CEADAD" w14:textId="77777777" w:rsidR="003269E1" w:rsidRDefault="003269E1" w:rsidP="00EF0C57">
      <w:pPr>
        <w:jc w:val="center"/>
        <w:rPr>
          <w:szCs w:val="24"/>
        </w:rPr>
      </w:pPr>
    </w:p>
    <w:p w14:paraId="77E983A9" w14:textId="77777777" w:rsidR="00701CE7" w:rsidRPr="008E67BD" w:rsidRDefault="00701CE7" w:rsidP="00EF0C57">
      <w:pPr>
        <w:jc w:val="center"/>
        <w:rPr>
          <w:szCs w:val="24"/>
        </w:rPr>
      </w:pPr>
      <w:r w:rsidRPr="008E67BD">
        <w:rPr>
          <w:szCs w:val="24"/>
        </w:rPr>
        <w:t xml:space="preserve">Published </w:t>
      </w:r>
      <w:r w:rsidR="0019207D">
        <w:rPr>
          <w:szCs w:val="24"/>
        </w:rPr>
        <w:t>June 2020</w:t>
      </w:r>
    </w:p>
    <w:p w14:paraId="546CE4FA" w14:textId="77777777" w:rsidR="003269E1" w:rsidRDefault="003269E1">
      <w:pPr>
        <w:rPr>
          <w:b/>
          <w:szCs w:val="24"/>
        </w:rPr>
      </w:pPr>
    </w:p>
    <w:p w14:paraId="70992AF3" w14:textId="77777777" w:rsidR="00BE4EC5" w:rsidRPr="008E67BD" w:rsidRDefault="00BE4EC5">
      <w:pPr>
        <w:rPr>
          <w:b/>
          <w:szCs w:val="24"/>
        </w:rPr>
      </w:pPr>
      <w:r w:rsidRPr="008E67BD">
        <w:rPr>
          <w:b/>
          <w:szCs w:val="24"/>
        </w:rPr>
        <w:t xml:space="preserve">Introduction  </w:t>
      </w:r>
    </w:p>
    <w:p w14:paraId="3F11AE34" w14:textId="77777777" w:rsidR="002073DE" w:rsidRPr="008E67BD" w:rsidRDefault="00EF0C57">
      <w:pPr>
        <w:rPr>
          <w:szCs w:val="24"/>
        </w:rPr>
      </w:pPr>
      <w:r w:rsidRPr="008E67BD">
        <w:rPr>
          <w:szCs w:val="24"/>
        </w:rPr>
        <w:t xml:space="preserve">Royal Blind and Scottish War Blinded </w:t>
      </w:r>
      <w:r w:rsidR="00BE4EC5" w:rsidRPr="008E67BD">
        <w:rPr>
          <w:szCs w:val="24"/>
        </w:rPr>
        <w:t>promote</w:t>
      </w:r>
      <w:r w:rsidR="002073DE" w:rsidRPr="008E67BD">
        <w:rPr>
          <w:szCs w:val="24"/>
        </w:rPr>
        <w:t xml:space="preserve"> the inclusion and empowerment of people with vision impairment, and as such regard equality </w:t>
      </w:r>
      <w:r w:rsidRPr="008E67BD">
        <w:rPr>
          <w:szCs w:val="24"/>
        </w:rPr>
        <w:t xml:space="preserve">and fairness </w:t>
      </w:r>
      <w:r w:rsidR="002073DE" w:rsidRPr="008E67BD">
        <w:rPr>
          <w:szCs w:val="24"/>
        </w:rPr>
        <w:t>in all its respects as something that should be inherent in our service delivery, our staffing and our management and governance.</w:t>
      </w:r>
    </w:p>
    <w:p w14:paraId="2454D988" w14:textId="77777777" w:rsidR="008E67BD" w:rsidRDefault="008E67BD" w:rsidP="00471184">
      <w:pPr>
        <w:rPr>
          <w:szCs w:val="24"/>
        </w:rPr>
      </w:pPr>
      <w:r w:rsidRPr="008E67BD">
        <w:rPr>
          <w:szCs w:val="24"/>
        </w:rPr>
        <w:t xml:space="preserve">Royal Blind is Scotland's largest </w:t>
      </w:r>
      <w:r w:rsidR="00031574">
        <w:rPr>
          <w:szCs w:val="24"/>
        </w:rPr>
        <w:t>vision</w:t>
      </w:r>
      <w:r w:rsidRPr="008E67BD">
        <w:rPr>
          <w:szCs w:val="24"/>
        </w:rPr>
        <w:t xml:space="preserve"> impairment organisation. We care for, educate and employ blind and partially sighted people from across the UK.</w:t>
      </w:r>
      <w:r w:rsidR="00031574">
        <w:rPr>
          <w:szCs w:val="24"/>
        </w:rPr>
        <w:t xml:space="preserve"> </w:t>
      </w:r>
      <w:r w:rsidR="008D055A">
        <w:rPr>
          <w:szCs w:val="24"/>
        </w:rPr>
        <w:t xml:space="preserve">Our sister charity </w:t>
      </w:r>
      <w:r w:rsidRPr="008E67BD">
        <w:rPr>
          <w:szCs w:val="24"/>
        </w:rPr>
        <w:t>Scottish War Blinded supports</w:t>
      </w:r>
      <w:r w:rsidR="00031574">
        <w:rPr>
          <w:szCs w:val="24"/>
        </w:rPr>
        <w:t xml:space="preserve"> anyone who has serv</w:t>
      </w:r>
      <w:r w:rsidRPr="008E67BD">
        <w:rPr>
          <w:szCs w:val="24"/>
        </w:rPr>
        <w:t>ed in</w:t>
      </w:r>
      <w:r w:rsidR="00031574">
        <w:rPr>
          <w:szCs w:val="24"/>
        </w:rPr>
        <w:t xml:space="preserve"> the Armed Forces who has a vision</w:t>
      </w:r>
      <w:r w:rsidRPr="008E67BD">
        <w:rPr>
          <w:szCs w:val="24"/>
        </w:rPr>
        <w:t xml:space="preserve"> impairment, whether they lost their sight during or after service.</w:t>
      </w:r>
    </w:p>
    <w:p w14:paraId="662A0BAC" w14:textId="77777777" w:rsidR="00BE4EC5" w:rsidRDefault="007A2A8F" w:rsidP="00471184">
      <w:pPr>
        <w:rPr>
          <w:szCs w:val="24"/>
        </w:rPr>
      </w:pPr>
      <w:r w:rsidRPr="008E67BD">
        <w:rPr>
          <w:szCs w:val="24"/>
        </w:rPr>
        <w:t>Gender Pay Gap legislation introduced in April 2017 requires any UK organisation employing 250 or more employees to publicl</w:t>
      </w:r>
      <w:r w:rsidR="00695A9F">
        <w:rPr>
          <w:szCs w:val="24"/>
        </w:rPr>
        <w:t>y report on its gender pay gap</w:t>
      </w:r>
      <w:r w:rsidR="00706612">
        <w:rPr>
          <w:szCs w:val="24"/>
        </w:rPr>
        <w:t>.</w:t>
      </w:r>
      <w:r w:rsidR="00695A9F">
        <w:rPr>
          <w:szCs w:val="24"/>
        </w:rPr>
        <w:t xml:space="preserve"> </w:t>
      </w:r>
    </w:p>
    <w:p w14:paraId="760EBA72" w14:textId="77777777" w:rsidR="00471184" w:rsidRDefault="00471184" w:rsidP="00471184">
      <w:pPr>
        <w:rPr>
          <w:szCs w:val="24"/>
        </w:rPr>
      </w:pPr>
      <w:r w:rsidRPr="008E67BD">
        <w:rPr>
          <w:szCs w:val="24"/>
        </w:rPr>
        <w:t>The gender pay gap</w:t>
      </w:r>
      <w:r w:rsidR="0054279B" w:rsidRPr="008E67BD">
        <w:rPr>
          <w:szCs w:val="24"/>
        </w:rPr>
        <w:t xml:space="preserve"> shows the difference in</w:t>
      </w:r>
      <w:r w:rsidR="009F0ED6">
        <w:rPr>
          <w:szCs w:val="24"/>
        </w:rPr>
        <w:t xml:space="preserve"> the average</w:t>
      </w:r>
      <w:r w:rsidR="0054279B" w:rsidRPr="008E67BD">
        <w:rPr>
          <w:szCs w:val="24"/>
        </w:rPr>
        <w:t xml:space="preserve"> pay between men and women in </w:t>
      </w:r>
      <w:proofErr w:type="gramStart"/>
      <w:r w:rsidR="0054279B" w:rsidRPr="008E67BD">
        <w:rPr>
          <w:szCs w:val="24"/>
        </w:rPr>
        <w:t>the</w:t>
      </w:r>
      <w:proofErr w:type="gramEnd"/>
      <w:r w:rsidR="0054279B" w:rsidRPr="008E67BD">
        <w:rPr>
          <w:szCs w:val="24"/>
        </w:rPr>
        <w:t xml:space="preserve"> organisation, irrespective of the position held. This is different from equal pay</w:t>
      </w:r>
      <w:r w:rsidR="0002184F">
        <w:rPr>
          <w:szCs w:val="24"/>
        </w:rPr>
        <w:t xml:space="preserve"> which deals with the pay differences between men and women who carry out the same jobs, simil</w:t>
      </w:r>
      <w:r w:rsidR="00A07FD5">
        <w:rPr>
          <w:szCs w:val="24"/>
        </w:rPr>
        <w:t>ar jobs or work of equal value.</w:t>
      </w:r>
    </w:p>
    <w:p w14:paraId="2E139602" w14:textId="77777777" w:rsidR="009F0ED6" w:rsidRDefault="009F0ED6" w:rsidP="00471184">
      <w:pPr>
        <w:rPr>
          <w:szCs w:val="24"/>
        </w:rPr>
      </w:pPr>
      <w:r>
        <w:rPr>
          <w:szCs w:val="24"/>
        </w:rPr>
        <w:t>In order to calculate the gender pay gap, we were required to calculate the mean and median hourly rates as follows:</w:t>
      </w:r>
    </w:p>
    <w:p w14:paraId="406EA876" w14:textId="77777777" w:rsidR="00706612" w:rsidRDefault="00706612" w:rsidP="00706612">
      <w:pPr>
        <w:pStyle w:val="ListParagraph"/>
        <w:numPr>
          <w:ilvl w:val="0"/>
          <w:numId w:val="3"/>
        </w:numPr>
      </w:pPr>
      <w:r w:rsidRPr="00706612">
        <w:rPr>
          <w:b/>
        </w:rPr>
        <w:t>Mean hourly rate</w:t>
      </w:r>
      <w:r w:rsidRPr="008E67BD">
        <w:t xml:space="preserve"> is calculated by addin</w:t>
      </w:r>
      <w:r>
        <w:t>g all hourly rates and dividing this</w:t>
      </w:r>
      <w:r w:rsidRPr="008E67BD">
        <w:t xml:space="preserve"> by the number of staff in the group.</w:t>
      </w:r>
    </w:p>
    <w:p w14:paraId="7041999F" w14:textId="77777777" w:rsidR="00706612" w:rsidRPr="00706612" w:rsidRDefault="00706612" w:rsidP="00706612">
      <w:pPr>
        <w:pStyle w:val="ListParagraph"/>
        <w:numPr>
          <w:ilvl w:val="0"/>
          <w:numId w:val="3"/>
        </w:numPr>
      </w:pPr>
      <w:r w:rsidRPr="00706612">
        <w:rPr>
          <w:b/>
        </w:rPr>
        <w:t>Median hourly rate</w:t>
      </w:r>
      <w:r w:rsidRPr="008E67BD">
        <w:t xml:space="preserve"> is calculated by lining up all the hourly rates in the group from lowest to highest, and identifying the rate in the middle.</w:t>
      </w:r>
    </w:p>
    <w:p w14:paraId="1FAF520A" w14:textId="77777777" w:rsidR="00EF0C57" w:rsidRDefault="009B7D51" w:rsidP="00EF0C57">
      <w:pPr>
        <w:rPr>
          <w:szCs w:val="24"/>
        </w:rPr>
      </w:pPr>
      <w:r w:rsidRPr="008E67BD">
        <w:rPr>
          <w:szCs w:val="24"/>
        </w:rPr>
        <w:t xml:space="preserve">The legislation only covers Royal Blind, but </w:t>
      </w:r>
      <w:r w:rsidR="008D055A">
        <w:rPr>
          <w:szCs w:val="24"/>
        </w:rPr>
        <w:t>we chose to analyse and disclose</w:t>
      </w:r>
      <w:r w:rsidRPr="008E67BD">
        <w:rPr>
          <w:szCs w:val="24"/>
        </w:rPr>
        <w:t xml:space="preserve"> information for Scottish </w:t>
      </w:r>
      <w:r w:rsidR="008D055A">
        <w:rPr>
          <w:szCs w:val="24"/>
        </w:rPr>
        <w:t>War Blinded as well</w:t>
      </w:r>
      <w:r w:rsidRPr="008E67BD">
        <w:rPr>
          <w:szCs w:val="24"/>
        </w:rPr>
        <w:t xml:space="preserve">. </w:t>
      </w:r>
      <w:r w:rsidR="003213CE" w:rsidRPr="008E67BD">
        <w:rPr>
          <w:szCs w:val="24"/>
        </w:rPr>
        <w:t>F</w:t>
      </w:r>
      <w:r w:rsidR="00EF0C57" w:rsidRPr="008E67BD">
        <w:rPr>
          <w:szCs w:val="24"/>
        </w:rPr>
        <w:t xml:space="preserve">igures are reported separately </w:t>
      </w:r>
      <w:r w:rsidR="008D055A">
        <w:rPr>
          <w:szCs w:val="24"/>
        </w:rPr>
        <w:t xml:space="preserve">for </w:t>
      </w:r>
      <w:r w:rsidRPr="008E67BD">
        <w:rPr>
          <w:szCs w:val="24"/>
        </w:rPr>
        <w:t xml:space="preserve">the two sister charities. </w:t>
      </w:r>
    </w:p>
    <w:p w14:paraId="23EB050E" w14:textId="6539C9E3" w:rsidR="008D055A" w:rsidRPr="008E67BD" w:rsidRDefault="008D055A" w:rsidP="008D055A">
      <w:pPr>
        <w:rPr>
          <w:szCs w:val="24"/>
        </w:rPr>
      </w:pPr>
      <w:r w:rsidRPr="008E67BD">
        <w:rPr>
          <w:szCs w:val="24"/>
        </w:rPr>
        <w:t>This report fulfils our reporting requirements, provides context around gender pay in</w:t>
      </w:r>
      <w:r w:rsidR="00A57AFA">
        <w:rPr>
          <w:szCs w:val="24"/>
        </w:rPr>
        <w:t xml:space="preserve"> both</w:t>
      </w:r>
      <w:r w:rsidRPr="008E67BD">
        <w:rPr>
          <w:szCs w:val="24"/>
        </w:rPr>
        <w:t xml:space="preserve"> Royal Blind </w:t>
      </w:r>
      <w:r w:rsidR="00A57AFA">
        <w:rPr>
          <w:szCs w:val="24"/>
        </w:rPr>
        <w:t>and Scottish War Blinded</w:t>
      </w:r>
      <w:r w:rsidRPr="008E67BD">
        <w:rPr>
          <w:szCs w:val="24"/>
        </w:rPr>
        <w:t xml:space="preserve"> and sets out what we are doing to address the gender pay gap in the organisation. </w:t>
      </w:r>
      <w:r w:rsidR="00FA2808">
        <w:rPr>
          <w:szCs w:val="24"/>
        </w:rPr>
        <w:t xml:space="preserve">It should be noted that neither of the charities pays bonuses and therefore the bonus gender pay gap is explored minimally. </w:t>
      </w:r>
    </w:p>
    <w:p w14:paraId="0A2D9F24" w14:textId="77777777" w:rsidR="008D055A" w:rsidRDefault="008D055A" w:rsidP="00EF0C57">
      <w:pPr>
        <w:rPr>
          <w:szCs w:val="24"/>
        </w:rPr>
      </w:pPr>
    </w:p>
    <w:p w14:paraId="133ECC46" w14:textId="77777777" w:rsidR="002073DE" w:rsidRPr="008E67BD" w:rsidRDefault="008D055A">
      <w:pPr>
        <w:rPr>
          <w:b/>
        </w:rPr>
      </w:pPr>
      <w:r>
        <w:rPr>
          <w:b/>
        </w:rPr>
        <w:lastRenderedPageBreak/>
        <w:t>R</w:t>
      </w:r>
      <w:r w:rsidR="00BE4EC5" w:rsidRPr="008E67BD">
        <w:rPr>
          <w:b/>
        </w:rPr>
        <w:t>oyal Blind Gender Pay Gap:</w:t>
      </w:r>
    </w:p>
    <w:p w14:paraId="6B2F42A3" w14:textId="77777777" w:rsidR="0002184F" w:rsidRDefault="00514224">
      <w:r w:rsidRPr="008E67BD">
        <w:t>We collected our data on</w:t>
      </w:r>
      <w:r w:rsidR="00FA2808">
        <w:t xml:space="preserve"> the snapshot date</w:t>
      </w:r>
      <w:r w:rsidRPr="008E67BD">
        <w:t xml:space="preserve"> 5 April 201</w:t>
      </w:r>
      <w:r w:rsidR="00F50F12">
        <w:t>9</w:t>
      </w:r>
      <w:r w:rsidRPr="008E67BD">
        <w:t>, w</w:t>
      </w:r>
      <w:r w:rsidR="00AB682F">
        <w:t>hen our workforce consisted of 5</w:t>
      </w:r>
      <w:r w:rsidR="00F50F12">
        <w:t>47</w:t>
      </w:r>
      <w:r w:rsidR="0068234E">
        <w:t xml:space="preserve"> full pay</w:t>
      </w:r>
      <w:r w:rsidRPr="008E67BD">
        <w:t xml:space="preserve"> </w:t>
      </w:r>
      <w:r w:rsidR="005E2E33" w:rsidRPr="008E67BD">
        <w:t xml:space="preserve">relevant </w:t>
      </w:r>
      <w:r w:rsidRPr="008E67BD">
        <w:t xml:space="preserve">employees, out of which </w:t>
      </w:r>
      <w:r w:rsidR="00F50F12">
        <w:t>441</w:t>
      </w:r>
      <w:r w:rsidR="00B062CD">
        <w:t xml:space="preserve"> (81</w:t>
      </w:r>
      <w:r w:rsidRPr="008E67BD">
        <w:t>%) were fe</w:t>
      </w:r>
      <w:r w:rsidR="00F50F12">
        <w:t>male and 106</w:t>
      </w:r>
      <w:r w:rsidR="00AB682F">
        <w:t xml:space="preserve"> (19</w:t>
      </w:r>
      <w:r w:rsidR="00031574">
        <w:t xml:space="preserve">%) were male. </w:t>
      </w:r>
      <w:r w:rsidR="0002184F">
        <w:t>As is</w:t>
      </w:r>
      <w:r w:rsidR="00CD2E46" w:rsidRPr="008E67BD">
        <w:t xml:space="preserve"> common with</w:t>
      </w:r>
      <w:r w:rsidR="0002184F">
        <w:t>in</w:t>
      </w:r>
      <w:r w:rsidR="00CD2E46" w:rsidRPr="008E67BD">
        <w:t xml:space="preserve"> </w:t>
      </w:r>
      <w:r w:rsidR="00FA1C6F">
        <w:t>health and social care and education sectors</w:t>
      </w:r>
      <w:r w:rsidR="00CD2E46" w:rsidRPr="008E67BD">
        <w:t xml:space="preserve">, our </w:t>
      </w:r>
      <w:r w:rsidR="00FA1C6F">
        <w:t>employees</w:t>
      </w:r>
      <w:r w:rsidR="00CD2E46" w:rsidRPr="008E67BD">
        <w:t xml:space="preserve"> </w:t>
      </w:r>
      <w:r w:rsidR="00FA1C6F">
        <w:t>are primarily</w:t>
      </w:r>
      <w:r w:rsidR="00CD2E46" w:rsidRPr="008E67BD">
        <w:t xml:space="preserve"> female. </w:t>
      </w:r>
    </w:p>
    <w:tbl>
      <w:tblPr>
        <w:tblStyle w:val="TableGrid"/>
        <w:tblW w:w="9498" w:type="dxa"/>
        <w:jc w:val="center"/>
        <w:tblLook w:val="04A0" w:firstRow="1" w:lastRow="0" w:firstColumn="1" w:lastColumn="0" w:noHBand="0" w:noVBand="1"/>
      </w:tblPr>
      <w:tblGrid>
        <w:gridCol w:w="4797"/>
        <w:gridCol w:w="4701"/>
      </w:tblGrid>
      <w:tr w:rsidR="00C949ED" w:rsidRPr="008E67BD" w14:paraId="4F288C15" w14:textId="77777777" w:rsidTr="00FA1C6F">
        <w:trPr>
          <w:jc w:val="center"/>
        </w:trPr>
        <w:tc>
          <w:tcPr>
            <w:tcW w:w="9498" w:type="dxa"/>
            <w:gridSpan w:val="2"/>
          </w:tcPr>
          <w:p w14:paraId="0F1C63AD" w14:textId="77777777" w:rsidR="00C949ED" w:rsidRPr="008E67BD" w:rsidRDefault="00C949ED" w:rsidP="00C949ED">
            <w:pPr>
              <w:spacing w:before="120" w:after="120"/>
              <w:jc w:val="center"/>
              <w:rPr>
                <w:b/>
              </w:rPr>
            </w:pPr>
            <w:r w:rsidRPr="008E67BD">
              <w:rPr>
                <w:b/>
              </w:rPr>
              <w:t>Mean and Median gender pay gap</w:t>
            </w:r>
          </w:p>
        </w:tc>
      </w:tr>
      <w:tr w:rsidR="001C480C" w:rsidRPr="008E67BD" w14:paraId="46E309CE" w14:textId="77777777" w:rsidTr="00FA1C6F">
        <w:trPr>
          <w:jc w:val="center"/>
        </w:trPr>
        <w:tc>
          <w:tcPr>
            <w:tcW w:w="4797" w:type="dxa"/>
          </w:tcPr>
          <w:p w14:paraId="6192F039" w14:textId="77777777" w:rsidR="001C480C" w:rsidRPr="008E67BD" w:rsidRDefault="001C480C" w:rsidP="001C480C">
            <w:pPr>
              <w:spacing w:before="120" w:after="120"/>
            </w:pPr>
            <w:r w:rsidRPr="008E67BD">
              <w:t>Me</w:t>
            </w:r>
            <w:r w:rsidR="00F50F12">
              <w:t>an hourly rate for women: £13.21</w:t>
            </w:r>
          </w:p>
        </w:tc>
        <w:tc>
          <w:tcPr>
            <w:tcW w:w="4701" w:type="dxa"/>
          </w:tcPr>
          <w:p w14:paraId="5D169871" w14:textId="77777777" w:rsidR="001C480C" w:rsidRPr="008E67BD" w:rsidRDefault="001C480C" w:rsidP="00F50F12">
            <w:pPr>
              <w:spacing w:before="120" w:after="120"/>
            </w:pPr>
            <w:r w:rsidRPr="008E67BD">
              <w:t>Medi</w:t>
            </w:r>
            <w:r w:rsidR="00F50F12">
              <w:t>an hourly rate for women: £11.58</w:t>
            </w:r>
          </w:p>
        </w:tc>
      </w:tr>
      <w:tr w:rsidR="001C480C" w:rsidRPr="008E67BD" w14:paraId="05B3A830" w14:textId="77777777" w:rsidTr="00FA1C6F">
        <w:trPr>
          <w:jc w:val="center"/>
        </w:trPr>
        <w:tc>
          <w:tcPr>
            <w:tcW w:w="4797" w:type="dxa"/>
          </w:tcPr>
          <w:p w14:paraId="0EFC0D1D" w14:textId="77777777" w:rsidR="001C480C" w:rsidRPr="008E67BD" w:rsidRDefault="00F50F12" w:rsidP="001C480C">
            <w:pPr>
              <w:spacing w:before="120" w:after="120"/>
            </w:pPr>
            <w:r>
              <w:t>Mean hourly rate for men: £14.04</w:t>
            </w:r>
          </w:p>
        </w:tc>
        <w:tc>
          <w:tcPr>
            <w:tcW w:w="4701" w:type="dxa"/>
          </w:tcPr>
          <w:p w14:paraId="768FCCE0" w14:textId="77777777" w:rsidR="001C480C" w:rsidRPr="008E67BD" w:rsidRDefault="001C480C" w:rsidP="001C480C">
            <w:pPr>
              <w:spacing w:before="120" w:after="120"/>
            </w:pPr>
            <w:r w:rsidRPr="008E67BD">
              <w:t xml:space="preserve">Median hourly rate </w:t>
            </w:r>
            <w:r w:rsidR="00F50F12">
              <w:t>for men: £11.28</w:t>
            </w:r>
          </w:p>
        </w:tc>
      </w:tr>
      <w:tr w:rsidR="001C480C" w:rsidRPr="008E67BD" w14:paraId="54171AC8" w14:textId="77777777" w:rsidTr="00FA1C6F">
        <w:trPr>
          <w:jc w:val="center"/>
        </w:trPr>
        <w:tc>
          <w:tcPr>
            <w:tcW w:w="4797" w:type="dxa"/>
          </w:tcPr>
          <w:p w14:paraId="5847E1D3" w14:textId="77777777" w:rsidR="001C480C" w:rsidRPr="008E67BD" w:rsidRDefault="00411FF1" w:rsidP="00411FF1">
            <w:pPr>
              <w:spacing w:before="120" w:after="120"/>
              <w:rPr>
                <w:b/>
              </w:rPr>
            </w:pPr>
            <w:r>
              <w:rPr>
                <w:b/>
              </w:rPr>
              <w:t>M</w:t>
            </w:r>
            <w:r w:rsidR="00154B63">
              <w:rPr>
                <w:b/>
              </w:rPr>
              <w:t>ean gender pay gap</w:t>
            </w:r>
            <w:r w:rsidR="00F50F12">
              <w:rPr>
                <w:b/>
              </w:rPr>
              <w:t xml:space="preserve"> (2019</w:t>
            </w:r>
            <w:r>
              <w:rPr>
                <w:b/>
              </w:rPr>
              <w:t>)</w:t>
            </w:r>
            <w:r w:rsidR="00154B63">
              <w:rPr>
                <w:b/>
              </w:rPr>
              <w:t xml:space="preserve">: </w:t>
            </w:r>
            <w:r w:rsidR="00F50F12">
              <w:rPr>
                <w:b/>
              </w:rPr>
              <w:t>5.9</w:t>
            </w:r>
            <w:r w:rsidR="001C480C" w:rsidRPr="008E67BD">
              <w:rPr>
                <w:b/>
              </w:rPr>
              <w:t>%</w:t>
            </w:r>
          </w:p>
        </w:tc>
        <w:tc>
          <w:tcPr>
            <w:tcW w:w="4701" w:type="dxa"/>
          </w:tcPr>
          <w:p w14:paraId="58AF31D2" w14:textId="77777777" w:rsidR="001C480C" w:rsidRPr="008E67BD" w:rsidRDefault="00154B63" w:rsidP="001C480C">
            <w:pPr>
              <w:spacing w:before="120" w:after="120"/>
              <w:rPr>
                <w:b/>
              </w:rPr>
            </w:pPr>
            <w:r>
              <w:rPr>
                <w:b/>
              </w:rPr>
              <w:t>Median gender pay gap</w:t>
            </w:r>
            <w:r w:rsidR="00F50F12">
              <w:rPr>
                <w:b/>
              </w:rPr>
              <w:t xml:space="preserve"> (2019</w:t>
            </w:r>
            <w:r w:rsidR="00411FF1">
              <w:rPr>
                <w:b/>
              </w:rPr>
              <w:t>)</w:t>
            </w:r>
            <w:r w:rsidR="00F50F12">
              <w:rPr>
                <w:b/>
              </w:rPr>
              <w:t>: -2.7</w:t>
            </w:r>
            <w:r w:rsidR="001C480C" w:rsidRPr="008E67BD">
              <w:rPr>
                <w:b/>
              </w:rPr>
              <w:t>%</w:t>
            </w:r>
          </w:p>
        </w:tc>
      </w:tr>
      <w:tr w:rsidR="00411FF1" w:rsidRPr="0011375F" w14:paraId="7FDB737B" w14:textId="77777777" w:rsidTr="00FA1C6F">
        <w:trPr>
          <w:jc w:val="center"/>
        </w:trPr>
        <w:tc>
          <w:tcPr>
            <w:tcW w:w="4797" w:type="dxa"/>
          </w:tcPr>
          <w:p w14:paraId="156B4E2A" w14:textId="77777777" w:rsidR="00411FF1" w:rsidRPr="0011375F" w:rsidRDefault="00F50F12" w:rsidP="00F50F12">
            <w:pPr>
              <w:spacing w:before="120" w:after="120"/>
              <w:rPr>
                <w:b/>
              </w:rPr>
            </w:pPr>
            <w:r>
              <w:rPr>
                <w:b/>
              </w:rPr>
              <w:t>Mean gender pay gap (2018</w:t>
            </w:r>
            <w:r w:rsidR="00411FF1" w:rsidRPr="0011375F">
              <w:rPr>
                <w:b/>
              </w:rPr>
              <w:t xml:space="preserve">): </w:t>
            </w:r>
            <w:r>
              <w:rPr>
                <w:b/>
              </w:rPr>
              <w:t>2</w:t>
            </w:r>
            <w:r w:rsidR="00411FF1" w:rsidRPr="0011375F">
              <w:rPr>
                <w:b/>
              </w:rPr>
              <w:t>.6%</w:t>
            </w:r>
          </w:p>
        </w:tc>
        <w:tc>
          <w:tcPr>
            <w:tcW w:w="4701" w:type="dxa"/>
          </w:tcPr>
          <w:p w14:paraId="50A25D20" w14:textId="77777777" w:rsidR="00411FF1" w:rsidRPr="0011375F" w:rsidRDefault="00411FF1" w:rsidP="00F50F12">
            <w:pPr>
              <w:spacing w:before="120" w:after="120"/>
              <w:rPr>
                <w:b/>
              </w:rPr>
            </w:pPr>
            <w:r w:rsidRPr="0011375F">
              <w:rPr>
                <w:b/>
              </w:rPr>
              <w:t>Median gender pay gap (201</w:t>
            </w:r>
            <w:r w:rsidR="00F50F12">
              <w:rPr>
                <w:b/>
              </w:rPr>
              <w:t>8): -10.6</w:t>
            </w:r>
            <w:r w:rsidRPr="0011375F">
              <w:rPr>
                <w:b/>
              </w:rPr>
              <w:t>%</w:t>
            </w:r>
          </w:p>
        </w:tc>
      </w:tr>
    </w:tbl>
    <w:p w14:paraId="20EA343D" w14:textId="77777777" w:rsidR="00F50F12" w:rsidRDefault="00F50F12"/>
    <w:p w14:paraId="53E2DA0E" w14:textId="77777777" w:rsidR="003269E1" w:rsidRDefault="003269E1">
      <w:r>
        <w:t xml:space="preserve">The mean and median gender pay gap figures have been reached using the mechanisms that are set out in the </w:t>
      </w:r>
      <w:r w:rsidR="009F0ED6">
        <w:t xml:space="preserve">Equality Act 2010 (Gender Pay Gap Information) Regulations 2017. </w:t>
      </w:r>
      <w:r>
        <w:t xml:space="preserve"> </w:t>
      </w:r>
    </w:p>
    <w:p w14:paraId="40D43961" w14:textId="77777777" w:rsidR="00994087" w:rsidRPr="008E67BD" w:rsidRDefault="004B47FA" w:rsidP="001C480C">
      <w:r>
        <w:rPr>
          <w:noProof/>
          <w:lang w:eastAsia="en-GB"/>
        </w:rPr>
        <w:drawing>
          <wp:anchor distT="0" distB="0" distL="114300" distR="114300" simplePos="0" relativeHeight="251660800" behindDoc="0" locked="0" layoutInCell="1" allowOverlap="1" wp14:anchorId="6622FAC1" wp14:editId="66FAA36A">
            <wp:simplePos x="0" y="0"/>
            <wp:positionH relativeFrom="margin">
              <wp:align>left</wp:align>
            </wp:positionH>
            <wp:positionV relativeFrom="paragraph">
              <wp:posOffset>289560</wp:posOffset>
            </wp:positionV>
            <wp:extent cx="2792730" cy="2340610"/>
            <wp:effectExtent l="0" t="0" r="7620" b="25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94087" w:rsidRPr="008E67BD">
        <w:t>Proportion of men and women in each pay quartile:</w:t>
      </w:r>
    </w:p>
    <w:p w14:paraId="28AA2677" w14:textId="77777777" w:rsidR="00B062CD" w:rsidRDefault="004B47FA">
      <w:pPr>
        <w:rPr>
          <w:noProof/>
          <w:lang w:eastAsia="en-GB"/>
        </w:rPr>
      </w:pPr>
      <w:r>
        <w:rPr>
          <w:noProof/>
          <w:lang w:eastAsia="en-GB"/>
        </w:rPr>
        <w:drawing>
          <wp:inline distT="0" distB="0" distL="0" distR="0" wp14:anchorId="385C0987" wp14:editId="3DE648B9">
            <wp:extent cx="2907196" cy="2340610"/>
            <wp:effectExtent l="0" t="0" r="7620"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92701C" w14:textId="77777777" w:rsidR="004B47FA" w:rsidRDefault="004B47FA">
      <w:pPr>
        <w:rPr>
          <w:noProof/>
          <w:lang w:eastAsia="en-GB"/>
        </w:rPr>
      </w:pPr>
      <w:r>
        <w:rPr>
          <w:noProof/>
          <w:lang w:eastAsia="en-GB"/>
        </w:rPr>
        <w:drawing>
          <wp:inline distT="0" distB="0" distL="0" distR="0" wp14:anchorId="4680C264" wp14:editId="54AE405B">
            <wp:extent cx="2792730" cy="2449996"/>
            <wp:effectExtent l="0" t="0" r="762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en-GB"/>
        </w:rPr>
        <w:drawing>
          <wp:inline distT="0" distB="0" distL="0" distR="0" wp14:anchorId="3BE7CE95" wp14:editId="46ECF6B5">
            <wp:extent cx="2922105" cy="2395330"/>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E3A395" w14:textId="77777777" w:rsidR="00BE4EC5" w:rsidRDefault="004D04CD">
      <w:r w:rsidRPr="008E67BD">
        <w:lastRenderedPageBreak/>
        <w:t>Royal Blind do not pay bonuses</w:t>
      </w:r>
      <w:r w:rsidR="008C023B">
        <w:t>, and t</w:t>
      </w:r>
      <w:r w:rsidR="003269E1">
        <w:t>he gender bonus gap is therefore 0%</w:t>
      </w:r>
      <w:r w:rsidR="008C023B">
        <w:t>.</w:t>
      </w:r>
    </w:p>
    <w:p w14:paraId="46077AEC" w14:textId="77777777" w:rsidR="00CD2C18" w:rsidRDefault="00CD2C18" w:rsidP="00CD2C18">
      <w:r w:rsidRPr="008E67BD">
        <w:t xml:space="preserve">As our workforce is primarily female, women outnumber men in each pay quartile. </w:t>
      </w:r>
    </w:p>
    <w:p w14:paraId="280389E0" w14:textId="77777777" w:rsidR="00CD2C18" w:rsidRPr="004B47FA" w:rsidRDefault="00CD2C18" w:rsidP="007F49F9">
      <w:pPr>
        <w:rPr>
          <w:color w:val="FF0000"/>
        </w:rPr>
      </w:pPr>
      <w:r w:rsidRPr="008E67BD">
        <w:t xml:space="preserve">The </w:t>
      </w:r>
      <w:r w:rsidRPr="00CD2C18">
        <w:rPr>
          <w:b/>
        </w:rPr>
        <w:t>median gender pay gap</w:t>
      </w:r>
      <w:r w:rsidRPr="008E67BD">
        <w:t xml:space="preserve"> shows that women</w:t>
      </w:r>
      <w:r w:rsidR="004B47FA">
        <w:t xml:space="preserve"> in Royal Blind are paid 2.7</w:t>
      </w:r>
      <w:r w:rsidRPr="008E67BD">
        <w:t>% more than men</w:t>
      </w:r>
      <w:r>
        <w:t xml:space="preserve">, </w:t>
      </w:r>
      <w:r w:rsidR="004B47FA">
        <w:t>compared to a difference of 10.6% in April 2018</w:t>
      </w:r>
      <w:r w:rsidRPr="00420401">
        <w:t xml:space="preserve">. </w:t>
      </w:r>
      <w:r w:rsidR="000E163E" w:rsidRPr="00420401">
        <w:t xml:space="preserve">This is influenced by the </w:t>
      </w:r>
      <w:r w:rsidR="00CD2E46" w:rsidRPr="00420401">
        <w:t>fact that there is a higher proporti</w:t>
      </w:r>
      <w:r w:rsidR="002A5B57" w:rsidRPr="00420401">
        <w:t xml:space="preserve">on of men in the lower quartile </w:t>
      </w:r>
      <w:r w:rsidR="00CD2E46" w:rsidRPr="00420401">
        <w:t>compared to each of the remaining three quartiles</w:t>
      </w:r>
      <w:r w:rsidR="000E163E" w:rsidRPr="00420401">
        <w:t xml:space="preserve">. </w:t>
      </w:r>
    </w:p>
    <w:p w14:paraId="2ACD1D8F" w14:textId="77777777" w:rsidR="007F49F9" w:rsidRPr="008E67BD" w:rsidRDefault="00CD2C18" w:rsidP="007F49F9">
      <w:r w:rsidRPr="00480461">
        <w:t>The</w:t>
      </w:r>
      <w:r w:rsidRPr="00CD2C18">
        <w:rPr>
          <w:b/>
        </w:rPr>
        <w:t xml:space="preserve"> mean gender pay gap</w:t>
      </w:r>
      <w:r w:rsidRPr="008E67BD">
        <w:t xml:space="preserve"> shows that women</w:t>
      </w:r>
      <w:r w:rsidR="002A5B57">
        <w:t xml:space="preserve"> in Royal Blind are paid 5.9</w:t>
      </w:r>
      <w:r w:rsidRPr="008E67BD">
        <w:t>% less than men</w:t>
      </w:r>
      <w:r>
        <w:t xml:space="preserve">, which </w:t>
      </w:r>
      <w:r w:rsidR="002A5B57">
        <w:t>increased from 2.6</w:t>
      </w:r>
      <w:r>
        <w:t>% in April 201</w:t>
      </w:r>
      <w:r w:rsidR="002A5B57">
        <w:t>8</w:t>
      </w:r>
      <w:r>
        <w:t>.</w:t>
      </w:r>
      <w:r w:rsidR="00FA1C6F">
        <w:t xml:space="preserve"> </w:t>
      </w:r>
      <w:r w:rsidR="000E163E">
        <w:t>The mean gender pay gap</w:t>
      </w:r>
      <w:r w:rsidR="00022244">
        <w:t xml:space="preserve"> continues to be much higher </w:t>
      </w:r>
      <w:r w:rsidR="00A0598E">
        <w:t>than the median,</w:t>
      </w:r>
      <w:r w:rsidR="00690746">
        <w:t xml:space="preserve"> which</w:t>
      </w:r>
      <w:r w:rsidR="007F49F9" w:rsidRPr="008E67BD">
        <w:t xml:space="preserve"> is influenced by the fac</w:t>
      </w:r>
      <w:r w:rsidR="009C119A">
        <w:t>t that our Chief Executive and 46</w:t>
      </w:r>
      <w:r w:rsidR="007F49F9" w:rsidRPr="008E67BD">
        <w:t xml:space="preserve">% of our Senior </w:t>
      </w:r>
      <w:r w:rsidR="002A5B57">
        <w:t>Leadership</w:t>
      </w:r>
      <w:r w:rsidR="007F49F9" w:rsidRPr="008E67BD">
        <w:t xml:space="preserve"> Team are male</w:t>
      </w:r>
      <w:r w:rsidR="006716B0" w:rsidRPr="008E67BD">
        <w:t xml:space="preserve">. </w:t>
      </w:r>
    </w:p>
    <w:p w14:paraId="19F3BFDB" w14:textId="77777777" w:rsidR="007F49F9" w:rsidRPr="008E67BD" w:rsidRDefault="007F49F9" w:rsidP="007F49F9">
      <w:r w:rsidRPr="008E67BD">
        <w:t xml:space="preserve">We recognise however that with our male </w:t>
      </w:r>
      <w:r w:rsidR="00B062CD">
        <w:t>employees comprising only 19</w:t>
      </w:r>
      <w:r w:rsidRPr="008E67BD">
        <w:t>% of the total workforce, even small fluctuations can have a significant impact on our gender pay gap.</w:t>
      </w:r>
      <w:r w:rsidR="00B853B4" w:rsidRPr="008E67BD">
        <w:t xml:space="preserve"> </w:t>
      </w:r>
    </w:p>
    <w:p w14:paraId="37140448" w14:textId="77777777" w:rsidR="00D3087D" w:rsidRDefault="00D3087D">
      <w:pPr>
        <w:rPr>
          <w:b/>
        </w:rPr>
      </w:pPr>
    </w:p>
    <w:p w14:paraId="15F52230" w14:textId="77777777" w:rsidR="0002548C" w:rsidRPr="008E67BD" w:rsidRDefault="0002548C">
      <w:pPr>
        <w:rPr>
          <w:b/>
        </w:rPr>
      </w:pPr>
      <w:r w:rsidRPr="008E67BD">
        <w:rPr>
          <w:b/>
        </w:rPr>
        <w:t xml:space="preserve">Scottish War Blinded </w:t>
      </w:r>
      <w:r w:rsidR="004C1D3D" w:rsidRPr="008E67BD">
        <w:rPr>
          <w:b/>
        </w:rPr>
        <w:t>Gender Pay Gap</w:t>
      </w:r>
    </w:p>
    <w:p w14:paraId="782D51B8" w14:textId="77777777" w:rsidR="009514A8" w:rsidRPr="008E67BD" w:rsidRDefault="009B7D51">
      <w:r w:rsidRPr="008E67BD">
        <w:t>On 5 April 201</w:t>
      </w:r>
      <w:r w:rsidR="00846CEA">
        <w:t>9</w:t>
      </w:r>
      <w:r w:rsidRPr="008E67BD">
        <w:t xml:space="preserve"> Scottish War </w:t>
      </w:r>
      <w:r w:rsidR="0023504E">
        <w:t xml:space="preserve">Blinded workforce consisted of </w:t>
      </w:r>
      <w:r w:rsidR="00EC3089">
        <w:t>75</w:t>
      </w:r>
      <w:r w:rsidRPr="008E67BD">
        <w:t xml:space="preserve"> </w:t>
      </w:r>
      <w:r w:rsidR="00450870">
        <w:t xml:space="preserve">full pay </w:t>
      </w:r>
      <w:r w:rsidRPr="008E67BD">
        <w:t xml:space="preserve">relevant employees, </w:t>
      </w:r>
      <w:r w:rsidR="00EC3089">
        <w:t>out of which 44</w:t>
      </w:r>
      <w:r w:rsidR="00055C11">
        <w:t xml:space="preserve"> (58.7%</w:t>
      </w:r>
      <w:r w:rsidR="00EC3089">
        <w:t>) were female and 31</w:t>
      </w:r>
      <w:r w:rsidRPr="008E67BD">
        <w:t xml:space="preserve"> (</w:t>
      </w:r>
      <w:r w:rsidR="0023504E">
        <w:t>4</w:t>
      </w:r>
      <w:r w:rsidR="00EC3089">
        <w:t>1.3</w:t>
      </w:r>
      <w:r w:rsidR="0023504E">
        <w:t>%</w:t>
      </w:r>
      <w:r w:rsidRPr="008E67BD">
        <w:t>) were male</w:t>
      </w:r>
      <w:r w:rsidR="00CD2C18">
        <w:t>.</w:t>
      </w:r>
    </w:p>
    <w:p w14:paraId="7DA4E837" w14:textId="77777777" w:rsidR="00281134" w:rsidRPr="00D3087D" w:rsidRDefault="009514A8">
      <w:pPr>
        <w:rPr>
          <w:b/>
        </w:rPr>
      </w:pPr>
      <w:r w:rsidRPr="008E67BD">
        <w:t>Scottish War Blinded has a higher proportion of m</w:t>
      </w:r>
      <w:r w:rsidR="00055C11">
        <w:t>ale employees than Royal Blind.</w:t>
      </w:r>
    </w:p>
    <w:tbl>
      <w:tblPr>
        <w:tblStyle w:val="TableGrid"/>
        <w:tblW w:w="9640" w:type="dxa"/>
        <w:tblInd w:w="-5" w:type="dxa"/>
        <w:tblLook w:val="04A0" w:firstRow="1" w:lastRow="0" w:firstColumn="1" w:lastColumn="0" w:noHBand="0" w:noVBand="1"/>
      </w:tblPr>
      <w:tblGrid>
        <w:gridCol w:w="4655"/>
        <w:gridCol w:w="4985"/>
      </w:tblGrid>
      <w:tr w:rsidR="00A72184" w:rsidRPr="008E67BD" w14:paraId="16E9C903" w14:textId="77777777" w:rsidTr="0011375F">
        <w:tc>
          <w:tcPr>
            <w:tcW w:w="9640" w:type="dxa"/>
            <w:gridSpan w:val="2"/>
          </w:tcPr>
          <w:p w14:paraId="3A6D873C" w14:textId="77777777" w:rsidR="00A72184" w:rsidRPr="008E67BD" w:rsidRDefault="00A72184" w:rsidP="00E23B3D">
            <w:pPr>
              <w:spacing w:before="120" w:after="120"/>
              <w:jc w:val="center"/>
              <w:rPr>
                <w:b/>
              </w:rPr>
            </w:pPr>
            <w:r w:rsidRPr="008E67BD">
              <w:rPr>
                <w:b/>
              </w:rPr>
              <w:t>Mean and Median gender pay gap</w:t>
            </w:r>
          </w:p>
        </w:tc>
      </w:tr>
      <w:tr w:rsidR="00A72184" w:rsidRPr="008E67BD" w14:paraId="0A33DB71" w14:textId="77777777" w:rsidTr="0011375F">
        <w:tc>
          <w:tcPr>
            <w:tcW w:w="4655" w:type="dxa"/>
          </w:tcPr>
          <w:p w14:paraId="21D1451E" w14:textId="77777777" w:rsidR="00A72184" w:rsidRPr="008E67BD" w:rsidRDefault="00A72184" w:rsidP="00EC3089">
            <w:pPr>
              <w:spacing w:before="120" w:after="120"/>
            </w:pPr>
            <w:r w:rsidRPr="008E67BD">
              <w:t>Mean hourly rate for women: £</w:t>
            </w:r>
            <w:r w:rsidR="00EC3089">
              <w:t>14.58</w:t>
            </w:r>
          </w:p>
        </w:tc>
        <w:tc>
          <w:tcPr>
            <w:tcW w:w="4985" w:type="dxa"/>
          </w:tcPr>
          <w:p w14:paraId="74555F3F" w14:textId="77777777" w:rsidR="00A72184" w:rsidRPr="008E67BD" w:rsidRDefault="00A72184" w:rsidP="00E15E9E">
            <w:pPr>
              <w:spacing w:before="120" w:after="120"/>
            </w:pPr>
            <w:r w:rsidRPr="008E67BD">
              <w:t xml:space="preserve">Median hourly rate for women: </w:t>
            </w:r>
            <w:r w:rsidR="0008253E" w:rsidRPr="008E67BD">
              <w:t>£</w:t>
            </w:r>
            <w:r w:rsidR="00EC3089">
              <w:t>14.14</w:t>
            </w:r>
          </w:p>
        </w:tc>
      </w:tr>
      <w:tr w:rsidR="00A72184" w:rsidRPr="008E67BD" w14:paraId="0251B921" w14:textId="77777777" w:rsidTr="0011375F">
        <w:tc>
          <w:tcPr>
            <w:tcW w:w="4655" w:type="dxa"/>
          </w:tcPr>
          <w:p w14:paraId="027632BB" w14:textId="77777777" w:rsidR="00A72184" w:rsidRPr="008E67BD" w:rsidRDefault="00A72184" w:rsidP="009C2158">
            <w:pPr>
              <w:spacing w:before="120" w:after="120"/>
            </w:pPr>
            <w:r w:rsidRPr="008E67BD">
              <w:t>Mean hourly rate for men: £</w:t>
            </w:r>
            <w:r w:rsidR="00EC3089">
              <w:t>12.17</w:t>
            </w:r>
          </w:p>
        </w:tc>
        <w:tc>
          <w:tcPr>
            <w:tcW w:w="4985" w:type="dxa"/>
          </w:tcPr>
          <w:p w14:paraId="0B84D7A6" w14:textId="77777777" w:rsidR="00A72184" w:rsidRPr="008E67BD" w:rsidRDefault="00A72184" w:rsidP="00E23B3D">
            <w:pPr>
              <w:spacing w:before="120" w:after="120"/>
            </w:pPr>
            <w:r w:rsidRPr="008E67BD">
              <w:t xml:space="preserve">Median hourly rate for men: </w:t>
            </w:r>
            <w:r w:rsidR="00EC3089">
              <w:t>£11.30</w:t>
            </w:r>
          </w:p>
        </w:tc>
      </w:tr>
      <w:tr w:rsidR="00A72184" w:rsidRPr="008E67BD" w14:paraId="18F567AF" w14:textId="77777777" w:rsidTr="0011375F">
        <w:tc>
          <w:tcPr>
            <w:tcW w:w="4655" w:type="dxa"/>
          </w:tcPr>
          <w:p w14:paraId="1437C57A" w14:textId="77777777" w:rsidR="00A72184" w:rsidRPr="008E67BD" w:rsidRDefault="00E15E9E" w:rsidP="00E15E9E">
            <w:pPr>
              <w:spacing w:before="120" w:after="120"/>
              <w:rPr>
                <w:b/>
              </w:rPr>
            </w:pPr>
            <w:r>
              <w:rPr>
                <w:b/>
              </w:rPr>
              <w:t>Mean gender pay gap</w:t>
            </w:r>
            <w:r w:rsidR="00EC3089">
              <w:rPr>
                <w:b/>
              </w:rPr>
              <w:t xml:space="preserve"> (2019</w:t>
            </w:r>
            <w:r w:rsidR="00CD2C18">
              <w:rPr>
                <w:b/>
              </w:rPr>
              <w:t>)</w:t>
            </w:r>
            <w:r w:rsidR="00EC3089">
              <w:rPr>
                <w:b/>
              </w:rPr>
              <w:t>: -19.8</w:t>
            </w:r>
            <w:r w:rsidR="00A72184" w:rsidRPr="008E67BD">
              <w:rPr>
                <w:b/>
              </w:rPr>
              <w:t>%</w:t>
            </w:r>
          </w:p>
        </w:tc>
        <w:tc>
          <w:tcPr>
            <w:tcW w:w="4985" w:type="dxa"/>
          </w:tcPr>
          <w:p w14:paraId="3A9FA122" w14:textId="77777777" w:rsidR="00A72184" w:rsidRPr="008E67BD" w:rsidRDefault="00A72184" w:rsidP="00E23B3D">
            <w:pPr>
              <w:spacing w:before="120" w:after="120"/>
              <w:rPr>
                <w:b/>
              </w:rPr>
            </w:pPr>
            <w:r w:rsidRPr="008E67BD">
              <w:rPr>
                <w:b/>
              </w:rPr>
              <w:t>Median gender pay gap</w:t>
            </w:r>
            <w:r w:rsidR="00EC3089">
              <w:rPr>
                <w:b/>
              </w:rPr>
              <w:t xml:space="preserve"> (2019</w:t>
            </w:r>
            <w:r w:rsidR="00CD2C18">
              <w:rPr>
                <w:b/>
              </w:rPr>
              <w:t>)</w:t>
            </w:r>
            <w:r w:rsidRPr="008E67BD">
              <w:rPr>
                <w:b/>
              </w:rPr>
              <w:t xml:space="preserve">: </w:t>
            </w:r>
            <w:r w:rsidR="00752DD2">
              <w:rPr>
                <w:b/>
              </w:rPr>
              <w:t>- 25.1</w:t>
            </w:r>
            <w:r w:rsidR="00C00689">
              <w:rPr>
                <w:b/>
              </w:rPr>
              <w:t xml:space="preserve"> </w:t>
            </w:r>
            <w:r w:rsidR="0008253E" w:rsidRPr="008E67BD">
              <w:rPr>
                <w:b/>
              </w:rPr>
              <w:t>%</w:t>
            </w:r>
          </w:p>
        </w:tc>
      </w:tr>
      <w:tr w:rsidR="00CD2C18" w:rsidRPr="008E67BD" w14:paraId="3428E1B4" w14:textId="77777777" w:rsidTr="0011375F">
        <w:tc>
          <w:tcPr>
            <w:tcW w:w="4655" w:type="dxa"/>
          </w:tcPr>
          <w:p w14:paraId="19975175" w14:textId="77777777" w:rsidR="00CD2C18" w:rsidRDefault="0011375F" w:rsidP="00E15E9E">
            <w:pPr>
              <w:spacing w:before="120" w:after="120"/>
              <w:rPr>
                <w:b/>
              </w:rPr>
            </w:pPr>
            <w:r w:rsidRPr="008E67BD">
              <w:rPr>
                <w:b/>
              </w:rPr>
              <w:t>Mean gender pay gap</w:t>
            </w:r>
            <w:r w:rsidR="00EC3089">
              <w:rPr>
                <w:b/>
              </w:rPr>
              <w:t xml:space="preserve"> (2018</w:t>
            </w:r>
            <w:r>
              <w:rPr>
                <w:b/>
              </w:rPr>
              <w:t>)</w:t>
            </w:r>
            <w:r w:rsidR="00EC3089">
              <w:rPr>
                <w:b/>
              </w:rPr>
              <w:t>: -23.5</w:t>
            </w:r>
            <w:r w:rsidRPr="008E67BD">
              <w:rPr>
                <w:b/>
              </w:rPr>
              <w:t>%</w:t>
            </w:r>
          </w:p>
        </w:tc>
        <w:tc>
          <w:tcPr>
            <w:tcW w:w="4985" w:type="dxa"/>
          </w:tcPr>
          <w:p w14:paraId="5D1CC7C6" w14:textId="77777777" w:rsidR="00CD2C18" w:rsidRPr="008E67BD" w:rsidRDefault="0011375F" w:rsidP="00E23B3D">
            <w:pPr>
              <w:spacing w:before="120" w:after="120"/>
              <w:rPr>
                <w:b/>
              </w:rPr>
            </w:pPr>
            <w:r w:rsidRPr="008E67BD">
              <w:rPr>
                <w:b/>
              </w:rPr>
              <w:t>Median gender pay gap</w:t>
            </w:r>
            <w:r w:rsidR="00EC3089">
              <w:rPr>
                <w:b/>
              </w:rPr>
              <w:t xml:space="preserve"> (2018</w:t>
            </w:r>
            <w:r>
              <w:rPr>
                <w:b/>
              </w:rPr>
              <w:t>)</w:t>
            </w:r>
            <w:r w:rsidR="00EC3089">
              <w:rPr>
                <w:b/>
              </w:rPr>
              <w:t>: -36.2</w:t>
            </w:r>
            <w:r w:rsidRPr="008E67BD">
              <w:rPr>
                <w:b/>
              </w:rPr>
              <w:t>%</w:t>
            </w:r>
          </w:p>
        </w:tc>
      </w:tr>
    </w:tbl>
    <w:p w14:paraId="1F678A03" w14:textId="77777777" w:rsidR="00D3087D" w:rsidRDefault="00D3087D" w:rsidP="00D3087D"/>
    <w:p w14:paraId="622663D6" w14:textId="77777777" w:rsidR="00D3087D" w:rsidRDefault="00D3087D" w:rsidP="00D3087D">
      <w:r w:rsidRPr="008E67BD">
        <w:t>The above figures show that on average in Scottish War Blinded women are paid more than men.</w:t>
      </w:r>
      <w:r w:rsidR="0011375F">
        <w:t xml:space="preserve"> </w:t>
      </w:r>
      <w:r w:rsidRPr="008E67BD">
        <w:t xml:space="preserve"> </w:t>
      </w:r>
    </w:p>
    <w:p w14:paraId="75D10545" w14:textId="77777777" w:rsidR="00765DBC" w:rsidRDefault="00765DBC">
      <w:pPr>
        <w:rPr>
          <w:noProof/>
          <w:lang w:eastAsia="en-GB"/>
        </w:rPr>
      </w:pPr>
    </w:p>
    <w:p w14:paraId="6EC423EC" w14:textId="77777777" w:rsidR="00D012F7" w:rsidRDefault="00D012F7">
      <w:pPr>
        <w:rPr>
          <w:noProof/>
          <w:lang w:eastAsia="en-GB"/>
        </w:rPr>
      </w:pPr>
    </w:p>
    <w:p w14:paraId="75A2F850" w14:textId="77777777" w:rsidR="00D012F7" w:rsidRDefault="00D012F7">
      <w:pPr>
        <w:rPr>
          <w:noProof/>
          <w:lang w:eastAsia="en-GB"/>
        </w:rPr>
      </w:pPr>
    </w:p>
    <w:p w14:paraId="081CFE57" w14:textId="77777777" w:rsidR="00D012F7" w:rsidRDefault="00D012F7">
      <w:pPr>
        <w:rPr>
          <w:noProof/>
          <w:lang w:eastAsia="en-GB"/>
        </w:rPr>
      </w:pPr>
    </w:p>
    <w:p w14:paraId="5B560B06" w14:textId="77777777" w:rsidR="00D012F7" w:rsidRDefault="00D012F7">
      <w:pPr>
        <w:rPr>
          <w:noProof/>
          <w:lang w:eastAsia="en-GB"/>
        </w:rPr>
      </w:pPr>
    </w:p>
    <w:p w14:paraId="0EF1C098" w14:textId="77777777" w:rsidR="00D012F7" w:rsidRDefault="00D012F7">
      <w:pPr>
        <w:rPr>
          <w:noProof/>
          <w:lang w:eastAsia="en-GB"/>
        </w:rPr>
      </w:pPr>
    </w:p>
    <w:p w14:paraId="6B7651C5" w14:textId="77777777" w:rsidR="00D012F7" w:rsidRDefault="00D012F7">
      <w:pPr>
        <w:rPr>
          <w:noProof/>
          <w:lang w:eastAsia="en-GB"/>
        </w:rPr>
      </w:pPr>
    </w:p>
    <w:p w14:paraId="352BE881" w14:textId="77777777" w:rsidR="00D012F7" w:rsidRDefault="00D012F7">
      <w:pPr>
        <w:rPr>
          <w:noProof/>
          <w:lang w:eastAsia="en-GB"/>
        </w:rPr>
      </w:pPr>
    </w:p>
    <w:p w14:paraId="7083731A" w14:textId="77777777" w:rsidR="00B867A2" w:rsidRPr="008E67BD" w:rsidRDefault="00466C22">
      <w:r w:rsidRPr="008E67BD">
        <w:lastRenderedPageBreak/>
        <w:t xml:space="preserve">Proportion of men </w:t>
      </w:r>
      <w:r>
        <w:t>and women in each pay quartile:</w:t>
      </w:r>
    </w:p>
    <w:p w14:paraId="7DE3AF44" w14:textId="77777777" w:rsidR="006A1C00" w:rsidRDefault="00765DBC" w:rsidP="002B3B9E">
      <w:r>
        <w:rPr>
          <w:noProof/>
          <w:lang w:eastAsia="en-GB"/>
        </w:rPr>
        <w:drawing>
          <wp:inline distT="0" distB="0" distL="0" distR="0" wp14:anchorId="0BC149A9" wp14:editId="11338BF3">
            <wp:extent cx="3101009" cy="2479813"/>
            <wp:effectExtent l="0" t="0" r="444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en-GB"/>
        </w:rPr>
        <w:drawing>
          <wp:inline distT="0" distB="0" distL="0" distR="0" wp14:anchorId="018C9B8F" wp14:editId="0A386BDC">
            <wp:extent cx="3006587" cy="2440056"/>
            <wp:effectExtent l="0" t="0" r="38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C7C99A" w14:textId="77777777" w:rsidR="00765DBC" w:rsidRDefault="00765DBC" w:rsidP="002B3B9E">
      <w:r>
        <w:rPr>
          <w:noProof/>
          <w:lang w:eastAsia="en-GB"/>
        </w:rPr>
        <w:drawing>
          <wp:inline distT="0" distB="0" distL="0" distR="0" wp14:anchorId="318E7F29" wp14:editId="42B11BA1">
            <wp:extent cx="3071191" cy="2479813"/>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eastAsia="en-GB"/>
        </w:rPr>
        <w:drawing>
          <wp:inline distT="0" distB="0" distL="0" distR="0" wp14:anchorId="1F7DB583" wp14:editId="34A91F6F">
            <wp:extent cx="3006090" cy="2539061"/>
            <wp:effectExtent l="0" t="0" r="38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8DE333" w14:textId="77777777" w:rsidR="00765DBC" w:rsidRDefault="00765DBC" w:rsidP="002B3B9E"/>
    <w:p w14:paraId="0F51F598" w14:textId="77777777" w:rsidR="005E2E33" w:rsidRPr="008E67BD" w:rsidRDefault="006716B0" w:rsidP="002B3B9E">
      <w:pPr>
        <w:rPr>
          <w:b/>
        </w:rPr>
      </w:pPr>
      <w:r w:rsidRPr="008E67BD">
        <w:t>Scottish War Blinded do not pay bonuses</w:t>
      </w:r>
      <w:r w:rsidR="00014772">
        <w:t>,</w:t>
      </w:r>
      <w:r w:rsidRPr="008E67BD">
        <w:t xml:space="preserve"> </w:t>
      </w:r>
      <w:r w:rsidR="00014772">
        <w:t>and the gender bonus gap is therefore 0%.</w:t>
      </w:r>
    </w:p>
    <w:p w14:paraId="5647886E" w14:textId="77777777" w:rsidR="00B867A2" w:rsidRPr="00846CEA" w:rsidRDefault="00276B8E" w:rsidP="00B867A2">
      <w:r w:rsidRPr="00846CEA">
        <w:t>The level of gender pay gap is influenced by a</w:t>
      </w:r>
      <w:r w:rsidR="00765DBC" w:rsidRPr="00846CEA">
        <w:t xml:space="preserve"> significantly higher proportion of men in the lower quartile</w:t>
      </w:r>
      <w:r w:rsidR="00846CEA" w:rsidRPr="00846CEA">
        <w:t xml:space="preserve"> (covering primarily driver roles) and the fact that 86% of the Scottish War Blinded management team are female. </w:t>
      </w:r>
      <w:r w:rsidR="00765DBC" w:rsidRPr="00846CEA">
        <w:t xml:space="preserve"> </w:t>
      </w:r>
      <w:r w:rsidR="00B867A2" w:rsidRPr="00846CEA">
        <w:t xml:space="preserve">Our staff numbers in Scottish War Blinded are however very low overall, so even small fluctuations can have a significant impact on our gender pay gap. </w:t>
      </w:r>
    </w:p>
    <w:p w14:paraId="1149D75B" w14:textId="77777777" w:rsidR="006A1C00" w:rsidRDefault="00B867A2" w:rsidP="00031574">
      <w:r w:rsidRPr="008E67BD">
        <w:t xml:space="preserve">It is also worth highlighting that Scottish War Blinded does not directly employ any </w:t>
      </w:r>
      <w:r w:rsidR="00B5398C" w:rsidRPr="008E67BD">
        <w:t>corporate services staff</w:t>
      </w:r>
      <w:r w:rsidRPr="008E67BD">
        <w:t xml:space="preserve">, Head Office functions are provided by Royal Blind (this includes the Chief Executive for both charities, Finance, IT, </w:t>
      </w:r>
      <w:r w:rsidR="007244F4">
        <w:t xml:space="preserve">HR, </w:t>
      </w:r>
      <w:r w:rsidRPr="008E67BD">
        <w:t>Marketing and Communications</w:t>
      </w:r>
      <w:r w:rsidR="00B5398C" w:rsidRPr="008E67BD">
        <w:t>,</w:t>
      </w:r>
      <w:r w:rsidRPr="008E67BD">
        <w:t xml:space="preserve"> Estates and Buildings).  </w:t>
      </w:r>
    </w:p>
    <w:p w14:paraId="58D7670B" w14:textId="77777777" w:rsidR="00DA5B23" w:rsidRDefault="00DA5B23" w:rsidP="00031574"/>
    <w:p w14:paraId="5A98F88C" w14:textId="77777777" w:rsidR="00031574" w:rsidRDefault="002B3B9E" w:rsidP="00031574">
      <w:r w:rsidRPr="008E67BD">
        <w:t xml:space="preserve">Overall, </w:t>
      </w:r>
      <w:r w:rsidR="00B867A2" w:rsidRPr="008E67BD">
        <w:t xml:space="preserve">for both charities </w:t>
      </w:r>
      <w:r w:rsidRPr="008E67BD">
        <w:t>our figures compare favourably to the ONS statistics, which show a national gen</w:t>
      </w:r>
      <w:r w:rsidR="00E54204">
        <w:t xml:space="preserve">der pay gap for Scotland </w:t>
      </w:r>
      <w:r w:rsidR="00F7666A">
        <w:t>(2019) at 13.3% (mean) and 14.3</w:t>
      </w:r>
      <w:r w:rsidRPr="008E67BD">
        <w:t xml:space="preserve">% </w:t>
      </w:r>
      <w:r w:rsidRPr="008E67BD">
        <w:lastRenderedPageBreak/>
        <w:t xml:space="preserve">(median). </w:t>
      </w:r>
      <w:r w:rsidR="00031574" w:rsidRPr="008E67BD">
        <w:t>We are confident that our employees are paid fairly and equally for the same or similar roles, and our equal pay statements are included in our Equality Status Report</w:t>
      </w:r>
      <w:r w:rsidR="006502FB">
        <w:t>s</w:t>
      </w:r>
      <w:r w:rsidR="00031574" w:rsidRPr="008E67BD">
        <w:t>.</w:t>
      </w:r>
    </w:p>
    <w:p w14:paraId="3983EDC0" w14:textId="77777777" w:rsidR="00D012F7" w:rsidRDefault="00D012F7">
      <w:pPr>
        <w:rPr>
          <w:b/>
        </w:rPr>
      </w:pPr>
    </w:p>
    <w:p w14:paraId="15449EE4" w14:textId="77777777" w:rsidR="00320A69" w:rsidRPr="008E67BD" w:rsidRDefault="00ED3E5E">
      <w:pPr>
        <w:rPr>
          <w:b/>
        </w:rPr>
      </w:pPr>
      <w:r w:rsidRPr="008E67BD">
        <w:rPr>
          <w:b/>
        </w:rPr>
        <w:t>A</w:t>
      </w:r>
      <w:r w:rsidR="00ED20D4" w:rsidRPr="008E67BD">
        <w:rPr>
          <w:b/>
        </w:rPr>
        <w:t>ctions</w:t>
      </w:r>
    </w:p>
    <w:p w14:paraId="049056E4" w14:textId="77777777" w:rsidR="00ED3E5E" w:rsidRPr="008E67BD" w:rsidRDefault="00ED3E5E" w:rsidP="00ED3E5E">
      <w:pPr>
        <w:spacing w:before="100" w:beforeAutospacing="1" w:after="100" w:afterAutospacing="1" w:line="240" w:lineRule="auto"/>
      </w:pPr>
      <w:r w:rsidRPr="008E67BD">
        <w:t xml:space="preserve">Royal Blind </w:t>
      </w:r>
      <w:r w:rsidR="00420401">
        <w:t>and Scottish War Blinded support</w:t>
      </w:r>
      <w:r w:rsidRPr="00ED3E5E">
        <w:t xml:space="preserve"> the fair treatment and reward of all staff irrespective of gender. We have pay and conditions of employment that do not discriminate unlawfully and are free from bias by ensuring that equal pay is in place for like work, work rated as equivalent and work of equal value. </w:t>
      </w:r>
    </w:p>
    <w:p w14:paraId="306215F0" w14:textId="77777777" w:rsidR="009A01B6" w:rsidRPr="00ED3E5E" w:rsidRDefault="009A01B6" w:rsidP="00ED3E5E">
      <w:pPr>
        <w:spacing w:before="100" w:beforeAutospacing="1" w:after="100" w:afterAutospacing="1" w:line="240" w:lineRule="auto"/>
        <w:rPr>
          <w:b/>
        </w:rPr>
      </w:pPr>
      <w:r w:rsidRPr="008E67BD">
        <w:rPr>
          <w:b/>
        </w:rPr>
        <w:t>Pay system</w:t>
      </w:r>
    </w:p>
    <w:p w14:paraId="3DF05900" w14:textId="77777777" w:rsidR="00AF65AE" w:rsidRPr="008E67BD" w:rsidRDefault="00AF65AE" w:rsidP="00AF65AE">
      <w:pPr>
        <w:rPr>
          <w:szCs w:val="24"/>
        </w:rPr>
      </w:pPr>
      <w:r w:rsidRPr="008E67BD">
        <w:rPr>
          <w:szCs w:val="24"/>
        </w:rPr>
        <w:t xml:space="preserve">We operate a fair and transparent </w:t>
      </w:r>
      <w:proofErr w:type="spellStart"/>
      <w:r w:rsidRPr="008E67BD">
        <w:rPr>
          <w:szCs w:val="24"/>
        </w:rPr>
        <w:t>payscale</w:t>
      </w:r>
      <w:proofErr w:type="spellEnd"/>
      <w:r w:rsidRPr="008E67BD">
        <w:rPr>
          <w:szCs w:val="24"/>
        </w:rPr>
        <w:t xml:space="preserve"> system which ensures that the salary and conditions for each job relate to the title and description of that job and not to any characteristic of the person carrying it out. </w:t>
      </w:r>
      <w:r w:rsidR="008F04DA" w:rsidRPr="008E67BD">
        <w:rPr>
          <w:szCs w:val="24"/>
        </w:rPr>
        <w:t xml:space="preserve">We </w:t>
      </w:r>
      <w:r w:rsidR="0044662D">
        <w:rPr>
          <w:szCs w:val="24"/>
        </w:rPr>
        <w:t xml:space="preserve">are accredited Living Wage employers and </w:t>
      </w:r>
      <w:r w:rsidR="008F04DA" w:rsidRPr="008E67BD">
        <w:rPr>
          <w:szCs w:val="24"/>
        </w:rPr>
        <w:t xml:space="preserve">pay all our staff the real Living </w:t>
      </w:r>
      <w:r w:rsidR="0044662D">
        <w:rPr>
          <w:szCs w:val="24"/>
        </w:rPr>
        <w:t xml:space="preserve">Wage </w:t>
      </w:r>
      <w:r w:rsidR="008F04DA" w:rsidRPr="008E67BD">
        <w:rPr>
          <w:szCs w:val="24"/>
        </w:rPr>
        <w:t xml:space="preserve">as a minimum. </w:t>
      </w:r>
      <w:r w:rsidR="00F8477F">
        <w:rPr>
          <w:szCs w:val="24"/>
        </w:rPr>
        <w:t xml:space="preserve">We </w:t>
      </w:r>
      <w:r w:rsidR="00501DF8">
        <w:rPr>
          <w:szCs w:val="24"/>
        </w:rPr>
        <w:t xml:space="preserve">clearly display </w:t>
      </w:r>
      <w:r w:rsidR="00F8477F">
        <w:rPr>
          <w:szCs w:val="24"/>
        </w:rPr>
        <w:t>salary range</w:t>
      </w:r>
      <w:r w:rsidR="00501DF8">
        <w:rPr>
          <w:szCs w:val="24"/>
        </w:rPr>
        <w:t>s</w:t>
      </w:r>
      <w:r w:rsidR="00F8477F">
        <w:rPr>
          <w:szCs w:val="24"/>
        </w:rPr>
        <w:t xml:space="preserve"> for any position </w:t>
      </w:r>
      <w:r w:rsidR="00501DF8">
        <w:rPr>
          <w:szCs w:val="24"/>
        </w:rPr>
        <w:t xml:space="preserve">advertised to ensure transparency and fairness. </w:t>
      </w:r>
      <w:r w:rsidR="00DF2B85" w:rsidRPr="008E67BD">
        <w:rPr>
          <w:szCs w:val="24"/>
        </w:rPr>
        <w:t xml:space="preserve">We regularly monitor staff pay to identify any pay differences and take targeted action where necessary. </w:t>
      </w:r>
      <w:r w:rsidRPr="008E67BD">
        <w:rPr>
          <w:szCs w:val="24"/>
        </w:rPr>
        <w:t xml:space="preserve">We have a Remuneration Policy which clearly sets out the rules for determining and reviewing staff pay. The policy and any updates are subject to the Board approval.  </w:t>
      </w:r>
    </w:p>
    <w:p w14:paraId="48933369" w14:textId="77777777" w:rsidR="009A01B6" w:rsidRPr="008E67BD" w:rsidRDefault="009A01B6" w:rsidP="00AF65AE">
      <w:pPr>
        <w:rPr>
          <w:b/>
          <w:szCs w:val="24"/>
        </w:rPr>
      </w:pPr>
      <w:r w:rsidRPr="008E67BD">
        <w:rPr>
          <w:b/>
          <w:szCs w:val="24"/>
        </w:rPr>
        <w:t>Recruitment</w:t>
      </w:r>
    </w:p>
    <w:p w14:paraId="522817E3" w14:textId="77777777" w:rsidR="00ED3E5E" w:rsidRPr="008E67BD" w:rsidRDefault="008F04DA">
      <w:r w:rsidRPr="008E67BD">
        <w:t>We will continue to ensure that our recruitment practices are transparent and fair.</w:t>
      </w:r>
      <w:r w:rsidR="00F8477F">
        <w:t xml:space="preserve"> We have introduced recruitment skills training for all managers, which involves unconscious bias training. We use structured interviews and skills-based assessment tasks</w:t>
      </w:r>
      <w:r w:rsidR="00501DF8">
        <w:t>. And aim to have mixed-sex interview panels where possible</w:t>
      </w:r>
      <w:r w:rsidR="00F8477F">
        <w:t xml:space="preserve"> </w:t>
      </w:r>
      <w:r w:rsidR="00501DF8">
        <w:t xml:space="preserve">to </w:t>
      </w:r>
      <w:r w:rsidR="00F8477F">
        <w:t xml:space="preserve">ensure fairness and avoid unconscious bias. </w:t>
      </w:r>
      <w:r w:rsidR="00AF65AE" w:rsidRPr="008E67BD">
        <w:t>We will explore how we can attract more men int</w:t>
      </w:r>
      <w:r w:rsidR="00774E0D" w:rsidRPr="008E67BD">
        <w:t xml:space="preserve">o Royal Blind to create a more even gender balance – we recognise however that this is a </w:t>
      </w:r>
      <w:r w:rsidR="00B5398C" w:rsidRPr="008E67BD">
        <w:t xml:space="preserve">broader </w:t>
      </w:r>
      <w:r w:rsidR="00774E0D" w:rsidRPr="008E67BD">
        <w:t xml:space="preserve">challenge </w:t>
      </w:r>
      <w:r w:rsidR="00B5398C" w:rsidRPr="008E67BD">
        <w:t>in</w:t>
      </w:r>
      <w:r w:rsidR="00774E0D" w:rsidRPr="008E67BD">
        <w:t xml:space="preserve"> the care and education sectors. As an equal opportunities employer we firmly believe in appointing the best candidate for the role, regardless of their gender or other protected characteristic. </w:t>
      </w:r>
    </w:p>
    <w:p w14:paraId="67294A03" w14:textId="77777777" w:rsidR="00180524" w:rsidRPr="00ED3E5E" w:rsidRDefault="00180524" w:rsidP="00180524">
      <w:pPr>
        <w:spacing w:before="100" w:beforeAutospacing="1" w:after="100" w:afterAutospacing="1" w:line="240" w:lineRule="auto"/>
        <w:outlineLvl w:val="2"/>
        <w:rPr>
          <w:b/>
          <w:szCs w:val="24"/>
        </w:rPr>
      </w:pPr>
      <w:r w:rsidRPr="008E67BD">
        <w:rPr>
          <w:b/>
          <w:szCs w:val="24"/>
        </w:rPr>
        <w:t>Family friendly support</w:t>
      </w:r>
    </w:p>
    <w:p w14:paraId="36093A2B" w14:textId="77777777" w:rsidR="00180524" w:rsidRPr="008E67BD" w:rsidRDefault="00180524" w:rsidP="00180524">
      <w:pPr>
        <w:spacing w:before="100" w:beforeAutospacing="1" w:after="100" w:afterAutospacing="1" w:line="240" w:lineRule="auto"/>
      </w:pPr>
      <w:r w:rsidRPr="008E67BD">
        <w:t>We offer a wide range of family friendly leave policies, which include enhanced pay for maternity, paternity, adoption and shared parental leave. Our Special Leave policy includes provisions for paid Time off for Dependants and Carers’</w:t>
      </w:r>
      <w:r w:rsidR="006B5C01" w:rsidRPr="008E67BD">
        <w:t xml:space="preserve"> Leave</w:t>
      </w:r>
      <w:r w:rsidRPr="008E67BD">
        <w:t>.</w:t>
      </w:r>
      <w:r w:rsidR="00614923" w:rsidRPr="008E67BD">
        <w:t xml:space="preserve"> </w:t>
      </w:r>
      <w:r w:rsidRPr="008E67BD">
        <w:t xml:space="preserve">We support flexible working, and have over 50% of staff who work on a part-time basis. We try to accommodate staff requests for </w:t>
      </w:r>
      <w:r w:rsidR="00B5398C" w:rsidRPr="008E67BD">
        <w:t>flexible</w:t>
      </w:r>
      <w:r w:rsidRPr="008E67BD">
        <w:t xml:space="preserve"> working patterns wh</w:t>
      </w:r>
      <w:r w:rsidR="00B5398C" w:rsidRPr="008E67BD">
        <w:t>ere we can</w:t>
      </w:r>
      <w:r w:rsidRPr="008E67BD">
        <w:t xml:space="preserve">. </w:t>
      </w:r>
    </w:p>
    <w:p w14:paraId="1B095EBD" w14:textId="77777777" w:rsidR="00ED3E5E" w:rsidRPr="00ED3E5E" w:rsidRDefault="00AF65AE" w:rsidP="00ED3E5E">
      <w:pPr>
        <w:spacing w:before="100" w:beforeAutospacing="1" w:after="100" w:afterAutospacing="1" w:line="240" w:lineRule="auto"/>
        <w:outlineLvl w:val="2"/>
        <w:rPr>
          <w:b/>
          <w:szCs w:val="24"/>
        </w:rPr>
      </w:pPr>
      <w:r w:rsidRPr="008E67BD">
        <w:rPr>
          <w:b/>
          <w:szCs w:val="24"/>
        </w:rPr>
        <w:t>D</w:t>
      </w:r>
      <w:r w:rsidR="00ED3E5E" w:rsidRPr="00ED3E5E">
        <w:rPr>
          <w:b/>
          <w:szCs w:val="24"/>
        </w:rPr>
        <w:t xml:space="preserve">evelopment </w:t>
      </w:r>
      <w:r w:rsidRPr="008E67BD">
        <w:rPr>
          <w:b/>
          <w:szCs w:val="24"/>
        </w:rPr>
        <w:t>opportunities</w:t>
      </w:r>
    </w:p>
    <w:p w14:paraId="51842757" w14:textId="77777777" w:rsidR="00DA1167" w:rsidRDefault="00ED3E5E" w:rsidP="0044662D">
      <w:pPr>
        <w:spacing w:before="100" w:beforeAutospacing="1" w:after="100" w:afterAutospacing="1" w:line="240" w:lineRule="auto"/>
        <w:rPr>
          <w:b/>
        </w:rPr>
      </w:pPr>
      <w:r w:rsidRPr="00ED3E5E">
        <w:t>We recognise that our staff don’t all want the same things from their careers, however, we aim to provide everyone with opportunities to be the best they can be and to progress, whether to m</w:t>
      </w:r>
      <w:r w:rsidR="00C413AF" w:rsidRPr="008E67BD">
        <w:t>ore senior roles, or other opportunities</w:t>
      </w:r>
      <w:r w:rsidRPr="00ED3E5E">
        <w:t xml:space="preserve"> </w:t>
      </w:r>
      <w:r w:rsidR="00AF65AE" w:rsidRPr="008E67BD">
        <w:t>within the organisation</w:t>
      </w:r>
      <w:r w:rsidRPr="00ED3E5E">
        <w:t xml:space="preserve">. To support this, we will continue to </w:t>
      </w:r>
      <w:r w:rsidR="009A01B6" w:rsidRPr="008E67BD">
        <w:t>offer various development opportunities, such as funde</w:t>
      </w:r>
      <w:r w:rsidR="006B5C01" w:rsidRPr="008E67BD">
        <w:t>d</w:t>
      </w:r>
      <w:r w:rsidR="009A01B6" w:rsidRPr="008E67BD">
        <w:t xml:space="preserve"> professional qualification programmes (e.g. SVQ 3 or QTVI), </w:t>
      </w:r>
      <w:r w:rsidR="00C413AF" w:rsidRPr="008E67BD">
        <w:t xml:space="preserve">or other </w:t>
      </w:r>
      <w:r w:rsidR="009A01B6" w:rsidRPr="008E67BD">
        <w:t>opportunities to develop additional skills</w:t>
      </w:r>
      <w:r w:rsidR="00C413AF" w:rsidRPr="008E67BD">
        <w:t>, whether through targeted training programmes (e.g.</w:t>
      </w:r>
      <w:r w:rsidR="008F04DA" w:rsidRPr="008E67BD">
        <w:t xml:space="preserve"> Bra</w:t>
      </w:r>
      <w:r w:rsidR="00E9357B">
        <w:t>ille Competency, Digital Skills, Conflict Resolution, Leading and Motivating the Team</w:t>
      </w:r>
      <w:r w:rsidR="00C413AF" w:rsidRPr="008E67BD">
        <w:t>)</w:t>
      </w:r>
      <w:r w:rsidR="00B5398C" w:rsidRPr="008E67BD">
        <w:t xml:space="preserve"> or </w:t>
      </w:r>
      <w:r w:rsidR="00C413AF" w:rsidRPr="008E67BD">
        <w:lastRenderedPageBreak/>
        <w:t xml:space="preserve">internal </w:t>
      </w:r>
      <w:r w:rsidR="00B5398C" w:rsidRPr="008E67BD">
        <w:t>personal development</w:t>
      </w:r>
      <w:r w:rsidR="00C413AF" w:rsidRPr="008E67BD">
        <w:t xml:space="preserve"> </w:t>
      </w:r>
      <w:r w:rsidR="006C18C9" w:rsidRPr="008E67BD">
        <w:t>options</w:t>
      </w:r>
      <w:r w:rsidR="00C413AF" w:rsidRPr="008E67BD">
        <w:t xml:space="preserve"> (e.g. through </w:t>
      </w:r>
      <w:r w:rsidR="00B5398C" w:rsidRPr="008E67BD">
        <w:t>leading a project or a working group</w:t>
      </w:r>
      <w:r w:rsidR="00C413AF" w:rsidRPr="008E67BD">
        <w:t>)</w:t>
      </w:r>
      <w:r w:rsidR="00B5398C" w:rsidRPr="008E67BD">
        <w:t xml:space="preserve">. </w:t>
      </w:r>
      <w:r w:rsidR="0044662D">
        <w:t xml:space="preserve">We have also introduced </w:t>
      </w:r>
      <w:r w:rsidR="009A01B6" w:rsidRPr="008E67BD">
        <w:t xml:space="preserve">a central learning and development function to </w:t>
      </w:r>
      <w:r w:rsidR="003F0090" w:rsidRPr="008E67BD">
        <w:t xml:space="preserve">ensure a consistent organisational approach to people development and </w:t>
      </w:r>
      <w:r w:rsidR="006C18C9" w:rsidRPr="008E67BD">
        <w:t xml:space="preserve">to enhance support for </w:t>
      </w:r>
      <w:r w:rsidR="003F0090" w:rsidRPr="008E67BD">
        <w:t>all our services in their learning and development activity.</w:t>
      </w:r>
    </w:p>
    <w:p w14:paraId="55E614AA" w14:textId="77777777" w:rsidR="00DC4226" w:rsidRPr="008E67BD" w:rsidRDefault="00B92709" w:rsidP="00614923">
      <w:pPr>
        <w:spacing w:after="0"/>
        <w:rPr>
          <w:b/>
        </w:rPr>
      </w:pPr>
      <w:r>
        <w:rPr>
          <w:b/>
        </w:rPr>
        <w:t>Diversity and Inclusion F</w:t>
      </w:r>
      <w:r w:rsidR="006B5C01" w:rsidRPr="008E67BD">
        <w:rPr>
          <w:b/>
        </w:rPr>
        <w:t>orum</w:t>
      </w:r>
    </w:p>
    <w:p w14:paraId="76B39259" w14:textId="77777777" w:rsidR="006B5C01" w:rsidRPr="008E67BD" w:rsidRDefault="006B5C01" w:rsidP="00614923">
      <w:pPr>
        <w:spacing w:after="0"/>
        <w:rPr>
          <w:b/>
        </w:rPr>
      </w:pPr>
    </w:p>
    <w:p w14:paraId="6202634E" w14:textId="77777777" w:rsidR="006B5C01" w:rsidRPr="008E67BD" w:rsidRDefault="00DF2B85" w:rsidP="00614923">
      <w:pPr>
        <w:spacing w:after="0"/>
      </w:pPr>
      <w:r w:rsidRPr="008E67BD">
        <w:t>We will continue operating our</w:t>
      </w:r>
      <w:r w:rsidR="006C18C9" w:rsidRPr="008E67BD">
        <w:t xml:space="preserve"> staff</w:t>
      </w:r>
      <w:r w:rsidR="006B5C01" w:rsidRPr="008E67BD">
        <w:t xml:space="preserve"> </w:t>
      </w:r>
      <w:r w:rsidR="00B92709">
        <w:t>Diversity and Inclusion</w:t>
      </w:r>
      <w:r w:rsidR="006B5C01" w:rsidRPr="008E67BD">
        <w:t xml:space="preserve"> Forum which </w:t>
      </w:r>
      <w:r w:rsidR="006C18C9" w:rsidRPr="008E67BD">
        <w:t>acts as a reference panel to assess our policies</w:t>
      </w:r>
      <w:r w:rsidRPr="008E67BD">
        <w:t xml:space="preserve"> and practices</w:t>
      </w:r>
      <w:r w:rsidR="006C18C9" w:rsidRPr="008E67BD">
        <w:t xml:space="preserve">, progress against our </w:t>
      </w:r>
      <w:r w:rsidRPr="008E67BD">
        <w:t>equality objectives</w:t>
      </w:r>
      <w:r w:rsidR="006C18C9" w:rsidRPr="008E67BD">
        <w:t xml:space="preserve"> and to bring forward ideas which will help us improve equality in our employment practice.</w:t>
      </w:r>
      <w:r w:rsidRPr="008E67BD">
        <w:t xml:space="preserve"> The Forum meets regularly </w:t>
      </w:r>
      <w:r w:rsidR="00E25FF5">
        <w:t xml:space="preserve">and </w:t>
      </w:r>
      <w:r w:rsidRPr="008E67BD">
        <w:t xml:space="preserve">considers </w:t>
      </w:r>
      <w:r w:rsidR="00E25FF5">
        <w:t xml:space="preserve">actions to improve equality in relation to </w:t>
      </w:r>
      <w:r w:rsidRPr="008E67BD">
        <w:t>all</w:t>
      </w:r>
      <w:r w:rsidR="00E25FF5">
        <w:t xml:space="preserve"> the</w:t>
      </w:r>
      <w:r w:rsidRPr="008E67BD">
        <w:t xml:space="preserve"> protected characteristics, including gender equality. </w:t>
      </w:r>
    </w:p>
    <w:p w14:paraId="10A894A9" w14:textId="77777777" w:rsidR="0051119E" w:rsidRPr="008E67BD" w:rsidRDefault="0051119E" w:rsidP="00614923">
      <w:pPr>
        <w:spacing w:after="0"/>
      </w:pPr>
    </w:p>
    <w:p w14:paraId="2E5BCB65" w14:textId="77777777" w:rsidR="00E25FF5" w:rsidRDefault="00E25FF5" w:rsidP="00614923">
      <w:pPr>
        <w:spacing w:after="0"/>
      </w:pPr>
    </w:p>
    <w:p w14:paraId="1296BDC8" w14:textId="77777777" w:rsidR="00A07FD5" w:rsidRDefault="00A07FD5" w:rsidP="00614923">
      <w:pPr>
        <w:spacing w:after="0"/>
      </w:pPr>
    </w:p>
    <w:p w14:paraId="3BFB5E33" w14:textId="77777777" w:rsidR="00614923" w:rsidRPr="008E67BD" w:rsidRDefault="00614923" w:rsidP="00614923">
      <w:pPr>
        <w:spacing w:after="0"/>
      </w:pPr>
      <w:r w:rsidRPr="008E67BD">
        <w:t>I confirm that the data reported</w:t>
      </w:r>
      <w:r w:rsidR="009F0ED6">
        <w:t xml:space="preserve"> and the calculations produced are </w:t>
      </w:r>
      <w:r w:rsidRPr="008E67BD">
        <w:t>accurate</w:t>
      </w:r>
      <w:r w:rsidR="009F0ED6">
        <w:t>.</w:t>
      </w:r>
    </w:p>
    <w:p w14:paraId="35599B60" w14:textId="77777777" w:rsidR="0051119E" w:rsidRDefault="0051119E" w:rsidP="00614923">
      <w:pPr>
        <w:spacing w:after="0"/>
      </w:pPr>
    </w:p>
    <w:p w14:paraId="49AA8B57" w14:textId="1D1CF20B" w:rsidR="00F229DD" w:rsidRDefault="00F229DD" w:rsidP="00614923">
      <w:pPr>
        <w:spacing w:after="0"/>
        <w:rPr>
          <w:noProof/>
          <w:lang w:eastAsia="en-GB"/>
        </w:rPr>
      </w:pPr>
    </w:p>
    <w:p w14:paraId="7A7E48F0" w14:textId="22EA3A2F" w:rsidR="000738B4" w:rsidRDefault="000738B4" w:rsidP="00614923">
      <w:pPr>
        <w:spacing w:after="0"/>
        <w:rPr>
          <w:noProof/>
          <w:lang w:eastAsia="en-GB"/>
        </w:rPr>
      </w:pPr>
    </w:p>
    <w:p w14:paraId="0EC6E04A" w14:textId="77777777" w:rsidR="000738B4" w:rsidRDefault="000738B4" w:rsidP="00614923">
      <w:pPr>
        <w:spacing w:after="0"/>
        <w:rPr>
          <w:noProof/>
          <w:lang w:eastAsia="en-GB"/>
        </w:rPr>
      </w:pPr>
      <w:bookmarkStart w:id="0" w:name="_GoBack"/>
      <w:bookmarkEnd w:id="0"/>
    </w:p>
    <w:p w14:paraId="2B4F0957" w14:textId="77777777" w:rsidR="000738B4" w:rsidRDefault="000738B4" w:rsidP="00614923">
      <w:pPr>
        <w:spacing w:after="0"/>
        <w:rPr>
          <w:noProof/>
          <w:lang w:eastAsia="en-GB"/>
        </w:rPr>
      </w:pPr>
    </w:p>
    <w:p w14:paraId="3C02CB41" w14:textId="15319C8A" w:rsidR="00614923" w:rsidRPr="008E67BD" w:rsidRDefault="00614923" w:rsidP="00614923">
      <w:pPr>
        <w:spacing w:after="0"/>
      </w:pPr>
      <w:r w:rsidRPr="008E67BD">
        <w:t>Mark O’Donnell</w:t>
      </w:r>
    </w:p>
    <w:p w14:paraId="523C62E4" w14:textId="77777777" w:rsidR="00614923" w:rsidRPr="008E67BD" w:rsidRDefault="00614923" w:rsidP="00614923">
      <w:pPr>
        <w:spacing w:after="0"/>
      </w:pPr>
      <w:r w:rsidRPr="008E67BD">
        <w:t>Chief Executive</w:t>
      </w:r>
    </w:p>
    <w:sectPr w:rsidR="00614923" w:rsidRPr="008E67BD" w:rsidSect="00CD2C18">
      <w:footerReference w:type="default" r:id="rId21"/>
      <w:pgSz w:w="11906" w:h="16838"/>
      <w:pgMar w:top="1276"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8436" w14:textId="77777777" w:rsidR="00973881" w:rsidRDefault="00973881" w:rsidP="005D304A">
      <w:pPr>
        <w:spacing w:after="0" w:line="240" w:lineRule="auto"/>
      </w:pPr>
      <w:r>
        <w:separator/>
      </w:r>
    </w:p>
  </w:endnote>
  <w:endnote w:type="continuationSeparator" w:id="0">
    <w:p w14:paraId="22B5CC6A" w14:textId="77777777" w:rsidR="00973881" w:rsidRDefault="00973881" w:rsidP="005D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7032"/>
      <w:docPartObj>
        <w:docPartGallery w:val="Page Numbers (Bottom of Page)"/>
        <w:docPartUnique/>
      </w:docPartObj>
    </w:sdtPr>
    <w:sdtEndPr>
      <w:rPr>
        <w:noProof/>
      </w:rPr>
    </w:sdtEndPr>
    <w:sdtContent>
      <w:p w14:paraId="7122DE2E" w14:textId="56D6F810" w:rsidR="005D304A" w:rsidRDefault="005D304A">
        <w:pPr>
          <w:pStyle w:val="Footer"/>
          <w:jc w:val="right"/>
        </w:pPr>
        <w:r>
          <w:fldChar w:fldCharType="begin"/>
        </w:r>
        <w:r>
          <w:instrText xml:space="preserve"> PAGE   \* MERGEFORMAT </w:instrText>
        </w:r>
        <w:r>
          <w:fldChar w:fldCharType="separate"/>
        </w:r>
        <w:r w:rsidR="000738B4">
          <w:rPr>
            <w:noProof/>
          </w:rPr>
          <w:t>6</w:t>
        </w:r>
        <w:r>
          <w:rPr>
            <w:noProof/>
          </w:rPr>
          <w:fldChar w:fldCharType="end"/>
        </w:r>
      </w:p>
    </w:sdtContent>
  </w:sdt>
  <w:p w14:paraId="61B290FB" w14:textId="77777777" w:rsidR="005D304A" w:rsidRDefault="005D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448B8" w14:textId="77777777" w:rsidR="00973881" w:rsidRDefault="00973881" w:rsidP="005D304A">
      <w:pPr>
        <w:spacing w:after="0" w:line="240" w:lineRule="auto"/>
      </w:pPr>
      <w:r>
        <w:separator/>
      </w:r>
    </w:p>
  </w:footnote>
  <w:footnote w:type="continuationSeparator" w:id="0">
    <w:p w14:paraId="2A89D28A" w14:textId="77777777" w:rsidR="00973881" w:rsidRDefault="00973881" w:rsidP="005D3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6BB"/>
    <w:multiLevelType w:val="hybridMultilevel"/>
    <w:tmpl w:val="B09832AE"/>
    <w:lvl w:ilvl="0" w:tplc="A6104DBC">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A0CB2"/>
    <w:multiLevelType w:val="hybridMultilevel"/>
    <w:tmpl w:val="261C6062"/>
    <w:lvl w:ilvl="0" w:tplc="28E0645A">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2270F"/>
    <w:multiLevelType w:val="hybridMultilevel"/>
    <w:tmpl w:val="57A2452C"/>
    <w:lvl w:ilvl="0" w:tplc="575AA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C3"/>
    <w:rsid w:val="00014772"/>
    <w:rsid w:val="0002184F"/>
    <w:rsid w:val="00022244"/>
    <w:rsid w:val="0002548C"/>
    <w:rsid w:val="00027A96"/>
    <w:rsid w:val="00031574"/>
    <w:rsid w:val="00055C11"/>
    <w:rsid w:val="000738B4"/>
    <w:rsid w:val="0008253E"/>
    <w:rsid w:val="00086CF3"/>
    <w:rsid w:val="000B4930"/>
    <w:rsid w:val="000D49CC"/>
    <w:rsid w:val="000E163E"/>
    <w:rsid w:val="0011375F"/>
    <w:rsid w:val="00114573"/>
    <w:rsid w:val="00154B63"/>
    <w:rsid w:val="00154CE0"/>
    <w:rsid w:val="00180524"/>
    <w:rsid w:val="00185277"/>
    <w:rsid w:val="0019207D"/>
    <w:rsid w:val="001A6CEB"/>
    <w:rsid w:val="001C480C"/>
    <w:rsid w:val="001C6053"/>
    <w:rsid w:val="001E15B9"/>
    <w:rsid w:val="002073DE"/>
    <w:rsid w:val="00234BC8"/>
    <w:rsid w:val="0023504E"/>
    <w:rsid w:val="00243D18"/>
    <w:rsid w:val="00276B8E"/>
    <w:rsid w:val="00281134"/>
    <w:rsid w:val="002A5B57"/>
    <w:rsid w:val="002B2B2E"/>
    <w:rsid w:val="002B3B9E"/>
    <w:rsid w:val="002D1502"/>
    <w:rsid w:val="002D3C8C"/>
    <w:rsid w:val="002D693E"/>
    <w:rsid w:val="0030451D"/>
    <w:rsid w:val="00313582"/>
    <w:rsid w:val="00320A69"/>
    <w:rsid w:val="003213CE"/>
    <w:rsid w:val="003269E1"/>
    <w:rsid w:val="0036443B"/>
    <w:rsid w:val="003E2D08"/>
    <w:rsid w:val="003F0090"/>
    <w:rsid w:val="00411FF1"/>
    <w:rsid w:val="00412576"/>
    <w:rsid w:val="00420401"/>
    <w:rsid w:val="00433446"/>
    <w:rsid w:val="004341D5"/>
    <w:rsid w:val="00436642"/>
    <w:rsid w:val="00436E1D"/>
    <w:rsid w:val="0044662D"/>
    <w:rsid w:val="00450870"/>
    <w:rsid w:val="00451DD7"/>
    <w:rsid w:val="00466C22"/>
    <w:rsid w:val="00471184"/>
    <w:rsid w:val="00480461"/>
    <w:rsid w:val="004B47FA"/>
    <w:rsid w:val="004B709E"/>
    <w:rsid w:val="004C1D3D"/>
    <w:rsid w:val="004D04CD"/>
    <w:rsid w:val="00501DF8"/>
    <w:rsid w:val="00505654"/>
    <w:rsid w:val="0051119E"/>
    <w:rsid w:val="00514224"/>
    <w:rsid w:val="0054279B"/>
    <w:rsid w:val="00597905"/>
    <w:rsid w:val="005D304A"/>
    <w:rsid w:val="005E2E33"/>
    <w:rsid w:val="005E5336"/>
    <w:rsid w:val="00614923"/>
    <w:rsid w:val="0063237E"/>
    <w:rsid w:val="006502FB"/>
    <w:rsid w:val="006716B0"/>
    <w:rsid w:val="00677188"/>
    <w:rsid w:val="0068234E"/>
    <w:rsid w:val="00690746"/>
    <w:rsid w:val="00695A9F"/>
    <w:rsid w:val="006A1C00"/>
    <w:rsid w:val="006B5C01"/>
    <w:rsid w:val="006C18C9"/>
    <w:rsid w:val="00701CE7"/>
    <w:rsid w:val="00706612"/>
    <w:rsid w:val="007244F4"/>
    <w:rsid w:val="00752DD2"/>
    <w:rsid w:val="00765DBC"/>
    <w:rsid w:val="00771C58"/>
    <w:rsid w:val="00774E0D"/>
    <w:rsid w:val="007772C3"/>
    <w:rsid w:val="007A2A8F"/>
    <w:rsid w:val="007F49F9"/>
    <w:rsid w:val="00811BB4"/>
    <w:rsid w:val="00837D28"/>
    <w:rsid w:val="00846CEA"/>
    <w:rsid w:val="008A4D64"/>
    <w:rsid w:val="008C023B"/>
    <w:rsid w:val="008D055A"/>
    <w:rsid w:val="008E495F"/>
    <w:rsid w:val="008E67BD"/>
    <w:rsid w:val="008F04DA"/>
    <w:rsid w:val="0090552B"/>
    <w:rsid w:val="009326F7"/>
    <w:rsid w:val="009514A8"/>
    <w:rsid w:val="0096781A"/>
    <w:rsid w:val="00973881"/>
    <w:rsid w:val="00994087"/>
    <w:rsid w:val="009A01B6"/>
    <w:rsid w:val="009A0F38"/>
    <w:rsid w:val="009B7D51"/>
    <w:rsid w:val="009C119A"/>
    <w:rsid w:val="009C2158"/>
    <w:rsid w:val="009E4ACC"/>
    <w:rsid w:val="009F0ED6"/>
    <w:rsid w:val="00A0598E"/>
    <w:rsid w:val="00A07FD5"/>
    <w:rsid w:val="00A4550A"/>
    <w:rsid w:val="00A57AFA"/>
    <w:rsid w:val="00A72184"/>
    <w:rsid w:val="00A84DB5"/>
    <w:rsid w:val="00AB682F"/>
    <w:rsid w:val="00AF65AE"/>
    <w:rsid w:val="00B062CD"/>
    <w:rsid w:val="00B5398C"/>
    <w:rsid w:val="00B853B4"/>
    <w:rsid w:val="00B867A2"/>
    <w:rsid w:val="00B92709"/>
    <w:rsid w:val="00B95FF9"/>
    <w:rsid w:val="00BC2EB3"/>
    <w:rsid w:val="00BE4EC5"/>
    <w:rsid w:val="00C00689"/>
    <w:rsid w:val="00C413AF"/>
    <w:rsid w:val="00C949ED"/>
    <w:rsid w:val="00CC615D"/>
    <w:rsid w:val="00CD2C18"/>
    <w:rsid w:val="00CD2E46"/>
    <w:rsid w:val="00CD7745"/>
    <w:rsid w:val="00D012F7"/>
    <w:rsid w:val="00D0578A"/>
    <w:rsid w:val="00D10407"/>
    <w:rsid w:val="00D215C8"/>
    <w:rsid w:val="00D25FBE"/>
    <w:rsid w:val="00D3087D"/>
    <w:rsid w:val="00D41C18"/>
    <w:rsid w:val="00DA1167"/>
    <w:rsid w:val="00DA5B23"/>
    <w:rsid w:val="00DB3B70"/>
    <w:rsid w:val="00DC328D"/>
    <w:rsid w:val="00DC4226"/>
    <w:rsid w:val="00DD04AE"/>
    <w:rsid w:val="00DE6860"/>
    <w:rsid w:val="00DF2B85"/>
    <w:rsid w:val="00E14A2F"/>
    <w:rsid w:val="00E15E9E"/>
    <w:rsid w:val="00E25FF5"/>
    <w:rsid w:val="00E50DD8"/>
    <w:rsid w:val="00E54204"/>
    <w:rsid w:val="00E9357B"/>
    <w:rsid w:val="00EA11F3"/>
    <w:rsid w:val="00EA4C5D"/>
    <w:rsid w:val="00EC3089"/>
    <w:rsid w:val="00EC3DD4"/>
    <w:rsid w:val="00ED20D4"/>
    <w:rsid w:val="00ED3E5E"/>
    <w:rsid w:val="00ED6916"/>
    <w:rsid w:val="00EF0C57"/>
    <w:rsid w:val="00F229DD"/>
    <w:rsid w:val="00F46A02"/>
    <w:rsid w:val="00F50F12"/>
    <w:rsid w:val="00F7666A"/>
    <w:rsid w:val="00F8477F"/>
    <w:rsid w:val="00F9530D"/>
    <w:rsid w:val="00FA1C6F"/>
    <w:rsid w:val="00FA2808"/>
    <w:rsid w:val="00FA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0CE"/>
  <w15:docId w15:val="{E0A67C86-9CAC-4AE7-A81C-199AD353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3E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3DE"/>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7A2A8F"/>
    <w:pPr>
      <w:ind w:left="720"/>
      <w:contextualSpacing/>
    </w:pPr>
  </w:style>
  <w:style w:type="table" w:styleId="TableGrid">
    <w:name w:val="Table Grid"/>
    <w:basedOn w:val="TableNormal"/>
    <w:uiPriority w:val="39"/>
    <w:rsid w:val="001C4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3E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3E5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1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23"/>
    <w:rPr>
      <w:rFonts w:ascii="Segoe UI" w:hAnsi="Segoe UI" w:cs="Segoe UI"/>
      <w:sz w:val="18"/>
      <w:szCs w:val="18"/>
    </w:rPr>
  </w:style>
  <w:style w:type="paragraph" w:customStyle="1" w:styleId="Parapre-bullets">
    <w:name w:val="&gt; Para (pre-bullets)"/>
    <w:basedOn w:val="Normal"/>
    <w:qFormat/>
    <w:rsid w:val="006C18C9"/>
    <w:pPr>
      <w:spacing w:after="60" w:line="312" w:lineRule="auto"/>
    </w:pPr>
    <w:rPr>
      <w:rFonts w:eastAsia="Calibri" w:cs="Times New Roman"/>
      <w:szCs w:val="24"/>
    </w:rPr>
  </w:style>
  <w:style w:type="paragraph" w:styleId="Header">
    <w:name w:val="header"/>
    <w:basedOn w:val="Normal"/>
    <w:link w:val="HeaderChar"/>
    <w:uiPriority w:val="99"/>
    <w:unhideWhenUsed/>
    <w:rsid w:val="005D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04A"/>
  </w:style>
  <w:style w:type="paragraph" w:styleId="Footer">
    <w:name w:val="footer"/>
    <w:basedOn w:val="Normal"/>
    <w:link w:val="FooterChar"/>
    <w:uiPriority w:val="99"/>
    <w:unhideWhenUsed/>
    <w:rsid w:val="005D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04A"/>
  </w:style>
  <w:style w:type="character" w:styleId="CommentReference">
    <w:name w:val="annotation reference"/>
    <w:basedOn w:val="DefaultParagraphFont"/>
    <w:uiPriority w:val="99"/>
    <w:semiHidden/>
    <w:unhideWhenUsed/>
    <w:rsid w:val="0068234E"/>
    <w:rPr>
      <w:sz w:val="16"/>
      <w:szCs w:val="16"/>
    </w:rPr>
  </w:style>
  <w:style w:type="paragraph" w:styleId="CommentText">
    <w:name w:val="annotation text"/>
    <w:basedOn w:val="Normal"/>
    <w:link w:val="CommentTextChar"/>
    <w:uiPriority w:val="99"/>
    <w:semiHidden/>
    <w:unhideWhenUsed/>
    <w:rsid w:val="0068234E"/>
    <w:pPr>
      <w:spacing w:line="240" w:lineRule="auto"/>
    </w:pPr>
    <w:rPr>
      <w:sz w:val="20"/>
      <w:szCs w:val="20"/>
    </w:rPr>
  </w:style>
  <w:style w:type="character" w:customStyle="1" w:styleId="CommentTextChar">
    <w:name w:val="Comment Text Char"/>
    <w:basedOn w:val="DefaultParagraphFont"/>
    <w:link w:val="CommentText"/>
    <w:uiPriority w:val="99"/>
    <w:semiHidden/>
    <w:rsid w:val="0068234E"/>
    <w:rPr>
      <w:sz w:val="20"/>
      <w:szCs w:val="20"/>
    </w:rPr>
  </w:style>
  <w:style w:type="paragraph" w:styleId="CommentSubject">
    <w:name w:val="annotation subject"/>
    <w:basedOn w:val="CommentText"/>
    <w:next w:val="CommentText"/>
    <w:link w:val="CommentSubjectChar"/>
    <w:uiPriority w:val="99"/>
    <w:semiHidden/>
    <w:unhideWhenUsed/>
    <w:rsid w:val="0068234E"/>
    <w:rPr>
      <w:b/>
      <w:bCs/>
    </w:rPr>
  </w:style>
  <w:style w:type="character" w:customStyle="1" w:styleId="CommentSubjectChar">
    <w:name w:val="Comment Subject Char"/>
    <w:basedOn w:val="CommentTextChar"/>
    <w:link w:val="CommentSubject"/>
    <w:uiPriority w:val="99"/>
    <w:semiHidden/>
    <w:rsid w:val="00682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6758">
      <w:bodyDiv w:val="1"/>
      <w:marLeft w:val="0"/>
      <w:marRight w:val="0"/>
      <w:marTop w:val="0"/>
      <w:marBottom w:val="0"/>
      <w:divBdr>
        <w:top w:val="none" w:sz="0" w:space="0" w:color="auto"/>
        <w:left w:val="none" w:sz="0" w:space="0" w:color="auto"/>
        <w:bottom w:val="none" w:sz="0" w:space="0" w:color="auto"/>
        <w:right w:val="none" w:sz="0" w:space="0" w:color="auto"/>
      </w:divBdr>
    </w:div>
    <w:div w:id="542250669">
      <w:bodyDiv w:val="1"/>
      <w:marLeft w:val="0"/>
      <w:marRight w:val="0"/>
      <w:marTop w:val="0"/>
      <w:marBottom w:val="0"/>
      <w:divBdr>
        <w:top w:val="none" w:sz="0" w:space="0" w:color="auto"/>
        <w:left w:val="none" w:sz="0" w:space="0" w:color="auto"/>
        <w:bottom w:val="none" w:sz="0" w:space="0" w:color="auto"/>
        <w:right w:val="none" w:sz="0" w:space="0" w:color="auto"/>
      </w:divBdr>
    </w:div>
    <w:div w:id="551423052">
      <w:bodyDiv w:val="1"/>
      <w:marLeft w:val="0"/>
      <w:marRight w:val="0"/>
      <w:marTop w:val="0"/>
      <w:marBottom w:val="0"/>
      <w:divBdr>
        <w:top w:val="none" w:sz="0" w:space="0" w:color="auto"/>
        <w:left w:val="none" w:sz="0" w:space="0" w:color="auto"/>
        <w:bottom w:val="none" w:sz="0" w:space="0" w:color="auto"/>
        <w:right w:val="none" w:sz="0" w:space="0" w:color="auto"/>
      </w:divBdr>
      <w:divsChild>
        <w:div w:id="1286156746">
          <w:marLeft w:val="0"/>
          <w:marRight w:val="0"/>
          <w:marTop w:val="0"/>
          <w:marBottom w:val="0"/>
          <w:divBdr>
            <w:top w:val="none" w:sz="0" w:space="0" w:color="auto"/>
            <w:left w:val="none" w:sz="0" w:space="0" w:color="auto"/>
            <w:bottom w:val="none" w:sz="0" w:space="0" w:color="auto"/>
            <w:right w:val="none" w:sz="0" w:space="0" w:color="auto"/>
          </w:divBdr>
          <w:divsChild>
            <w:div w:id="38095983">
              <w:marLeft w:val="0"/>
              <w:marRight w:val="0"/>
              <w:marTop w:val="0"/>
              <w:marBottom w:val="0"/>
              <w:divBdr>
                <w:top w:val="none" w:sz="0" w:space="0" w:color="auto"/>
                <w:left w:val="none" w:sz="0" w:space="0" w:color="auto"/>
                <w:bottom w:val="none" w:sz="0" w:space="0" w:color="auto"/>
                <w:right w:val="none" w:sz="0" w:space="0" w:color="auto"/>
              </w:divBdr>
              <w:divsChild>
                <w:div w:id="777024350">
                  <w:marLeft w:val="0"/>
                  <w:marRight w:val="0"/>
                  <w:marTop w:val="0"/>
                  <w:marBottom w:val="0"/>
                  <w:divBdr>
                    <w:top w:val="none" w:sz="0" w:space="0" w:color="auto"/>
                    <w:left w:val="none" w:sz="0" w:space="0" w:color="auto"/>
                    <w:bottom w:val="none" w:sz="0" w:space="0" w:color="auto"/>
                    <w:right w:val="none" w:sz="0" w:space="0" w:color="auto"/>
                  </w:divBdr>
                  <w:divsChild>
                    <w:div w:id="1472559404">
                      <w:marLeft w:val="0"/>
                      <w:marRight w:val="0"/>
                      <w:marTop w:val="0"/>
                      <w:marBottom w:val="0"/>
                      <w:divBdr>
                        <w:top w:val="none" w:sz="0" w:space="0" w:color="auto"/>
                        <w:left w:val="none" w:sz="0" w:space="0" w:color="auto"/>
                        <w:bottom w:val="none" w:sz="0" w:space="0" w:color="auto"/>
                        <w:right w:val="none" w:sz="0" w:space="0" w:color="auto"/>
                      </w:divBdr>
                      <w:divsChild>
                        <w:div w:id="198199814">
                          <w:marLeft w:val="0"/>
                          <w:marRight w:val="0"/>
                          <w:marTop w:val="0"/>
                          <w:marBottom w:val="0"/>
                          <w:divBdr>
                            <w:top w:val="none" w:sz="0" w:space="0" w:color="auto"/>
                            <w:left w:val="none" w:sz="0" w:space="0" w:color="auto"/>
                            <w:bottom w:val="none" w:sz="0" w:space="0" w:color="auto"/>
                            <w:right w:val="none" w:sz="0" w:space="0" w:color="auto"/>
                          </w:divBdr>
                          <w:divsChild>
                            <w:div w:id="12327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asra\hr\Equal%20Opportunities\Gender%20Pay%20Gap%20Reporting\April%202019\graphs%20201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525761530831837"/>
          <c:y val="0.18978898663169005"/>
          <c:w val="0.5840553866646615"/>
          <c:h val="0.69687346460965305"/>
        </c:manualLayout>
      </c:layout>
      <c:pieChart>
        <c:varyColors val="1"/>
        <c:ser>
          <c:idx val="0"/>
          <c:order val="0"/>
          <c:tx>
            <c:strRef>
              <c:f>RB!$B$3</c:f>
              <c:strCache>
                <c:ptCount val="1"/>
                <c:pt idx="0">
                  <c:v>Lower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C7-4C96-884D-8FAACF4C5B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C7-4C96-884D-8FAACF4C5B83}"/>
              </c:ext>
            </c:extLst>
          </c:dPt>
          <c:dLbls>
            <c:dLbl>
              <c:idx val="0"/>
              <c:layout>
                <c:manualLayout>
                  <c:x val="-0.14487852336884868"/>
                  <c:y val="0.1284219552237245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CC7-4C96-884D-8FAACF4C5B83}"/>
                </c:ext>
              </c:extLst>
            </c:dLbl>
            <c:dLbl>
              <c:idx val="1"/>
              <c:layout>
                <c:manualLayout>
                  <c:x val="0.19573092466795292"/>
                  <c:y val="-0.14143614518304734"/>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CC7-4C96-884D-8FAACF4C5B8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RB!$A$4:$A$5</c:f>
              <c:strCache>
                <c:ptCount val="2"/>
                <c:pt idx="0">
                  <c:v>Men</c:v>
                </c:pt>
                <c:pt idx="1">
                  <c:v>Women</c:v>
                </c:pt>
              </c:strCache>
            </c:strRef>
          </c:cat>
          <c:val>
            <c:numRef>
              <c:f>RB!$B$4:$B$5</c:f>
              <c:numCache>
                <c:formatCode>0.0%</c:formatCode>
                <c:ptCount val="2"/>
                <c:pt idx="0">
                  <c:v>0.23400000000000001</c:v>
                </c:pt>
                <c:pt idx="1">
                  <c:v>0.76600000000000001</c:v>
                </c:pt>
              </c:numCache>
            </c:numRef>
          </c:val>
          <c:extLst>
            <c:ext xmlns:c16="http://schemas.microsoft.com/office/drawing/2014/chart" uri="{C3380CC4-5D6E-409C-BE32-E72D297353CC}">
              <c16:uniqueId val="{00000004-CCC7-4C96-884D-8FAACF4C5B83}"/>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566688338269643"/>
          <c:y val="0.18978898663169005"/>
          <c:w val="0.56109121680890806"/>
          <c:h val="0.69687346460965305"/>
        </c:manualLayout>
      </c:layout>
      <c:pieChart>
        <c:varyColors val="1"/>
        <c:ser>
          <c:idx val="0"/>
          <c:order val="0"/>
          <c:tx>
            <c:strRef>
              <c:f>RB!$B$9</c:f>
              <c:strCache>
                <c:ptCount val="1"/>
                <c:pt idx="0">
                  <c:v>Lower middle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02-4A5B-8395-AFDF96F8CB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02-4A5B-8395-AFDF96F8CBE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1-3E02-4A5B-8395-AFDF96F8CBEE}"/>
                </c:ext>
              </c:extLst>
            </c:dLbl>
            <c:dLbl>
              <c:idx val="1"/>
              <c:layout>
                <c:manualLayout>
                  <c:x val="0.11218481308834258"/>
                  <c:y val="-0.28721170492898884"/>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E02-4A5B-8395-AFDF96F8CBE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RB!$A$10:$A$11</c:f>
              <c:strCache>
                <c:ptCount val="2"/>
                <c:pt idx="0">
                  <c:v>Men</c:v>
                </c:pt>
                <c:pt idx="1">
                  <c:v>Women</c:v>
                </c:pt>
              </c:strCache>
            </c:strRef>
          </c:cat>
          <c:val>
            <c:numRef>
              <c:f>RB!$B$10:$B$11</c:f>
              <c:numCache>
                <c:formatCode>0.0%</c:formatCode>
                <c:ptCount val="2"/>
                <c:pt idx="0">
                  <c:v>0.182</c:v>
                </c:pt>
                <c:pt idx="1">
                  <c:v>0.8175</c:v>
                </c:pt>
              </c:numCache>
            </c:numRef>
          </c:val>
          <c:extLst>
            <c:ext xmlns:c16="http://schemas.microsoft.com/office/drawing/2014/chart" uri="{C3380CC4-5D6E-409C-BE32-E72D297353CC}">
              <c16:uniqueId val="{00000004-3E02-4A5B-8395-AFDF96F8CBEE}"/>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873296204407384"/>
          <c:y val="0.19255325942453311"/>
          <c:w val="0.64324849011607088"/>
          <c:h val="0.69889446419345025"/>
        </c:manualLayout>
      </c:layout>
      <c:pieChart>
        <c:varyColors val="1"/>
        <c:ser>
          <c:idx val="0"/>
          <c:order val="0"/>
          <c:tx>
            <c:strRef>
              <c:f>RB!$B$15</c:f>
              <c:strCache>
                <c:ptCount val="1"/>
                <c:pt idx="0">
                  <c:v>Upper middle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0E-47F8-9127-DE8830AA82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0E-47F8-9127-DE8830AA8268}"/>
              </c:ext>
            </c:extLst>
          </c:dPt>
          <c:dLbls>
            <c:dLbl>
              <c:idx val="1"/>
              <c:layout>
                <c:manualLayout>
                  <c:x val="0.11888800967467415"/>
                  <c:y val="-0.28855312666336286"/>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0E-47F8-9127-DE8830AA826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RB!$A$16:$A$17</c:f>
              <c:strCache>
                <c:ptCount val="2"/>
                <c:pt idx="0">
                  <c:v>Men</c:v>
                </c:pt>
                <c:pt idx="1">
                  <c:v>Women</c:v>
                </c:pt>
              </c:strCache>
            </c:strRef>
          </c:cat>
          <c:val>
            <c:numRef>
              <c:f>RB!$B$16:$B$17</c:f>
              <c:numCache>
                <c:formatCode>0.0%</c:formatCode>
                <c:ptCount val="2"/>
                <c:pt idx="0">
                  <c:v>0.182</c:v>
                </c:pt>
                <c:pt idx="1">
                  <c:v>0.81799999999999995</c:v>
                </c:pt>
              </c:numCache>
            </c:numRef>
          </c:val>
          <c:extLst>
            <c:ext xmlns:c16="http://schemas.microsoft.com/office/drawing/2014/chart" uri="{C3380CC4-5D6E-409C-BE32-E72D297353CC}">
              <c16:uniqueId val="{00000004-1D0E-47F8-9127-DE8830AA8268}"/>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485585231346711"/>
          <c:y val="0.17418254717165824"/>
          <c:w val="0.60484171014502341"/>
          <c:h val="0.71672689968950309"/>
        </c:manualLayout>
      </c:layout>
      <c:pieChart>
        <c:varyColors val="1"/>
        <c:ser>
          <c:idx val="0"/>
          <c:order val="0"/>
          <c:tx>
            <c:strRef>
              <c:f>RB!$B$21</c:f>
              <c:strCache>
                <c:ptCount val="1"/>
                <c:pt idx="0">
                  <c:v>Upper quartile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7E-43B1-B8FF-A03C526E3C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7E-43B1-B8FF-A03C526E3C32}"/>
              </c:ext>
            </c:extLst>
          </c:dPt>
          <c:dLbls>
            <c:dLbl>
              <c:idx val="1"/>
              <c:layout>
                <c:manualLayout>
                  <c:x val="0.16489791604583315"/>
                  <c:y val="-0.24758884378207049"/>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A7E-43B1-B8FF-A03C526E3C3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RB!$A$22:$A$23</c:f>
              <c:strCache>
                <c:ptCount val="2"/>
                <c:pt idx="0">
                  <c:v>Men</c:v>
                </c:pt>
                <c:pt idx="1">
                  <c:v>Women</c:v>
                </c:pt>
              </c:strCache>
            </c:strRef>
          </c:cat>
          <c:val>
            <c:numRef>
              <c:f>RB!$B$22:$B$23</c:f>
              <c:numCache>
                <c:formatCode>0.0%</c:formatCode>
                <c:ptCount val="2"/>
                <c:pt idx="0">
                  <c:v>0.17599999999999999</c:v>
                </c:pt>
                <c:pt idx="1">
                  <c:v>0.82399999999999995</c:v>
                </c:pt>
              </c:numCache>
            </c:numRef>
          </c:val>
          <c:extLst>
            <c:ext xmlns:c16="http://schemas.microsoft.com/office/drawing/2014/chart" uri="{C3380CC4-5D6E-409C-BE32-E72D297353CC}">
              <c16:uniqueId val="{00000004-5A7E-43B1-B8FF-A03C526E3C32}"/>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SWB!$B$4</c:f>
              <c:strCache>
                <c:ptCount val="1"/>
                <c:pt idx="0">
                  <c:v>Lower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A0-426D-91D4-19C6149A4C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A0-426D-91D4-19C6149A4CF9}"/>
              </c:ext>
            </c:extLst>
          </c:dPt>
          <c:dLbls>
            <c:dLbl>
              <c:idx val="0"/>
              <c:layout>
                <c:manualLayout>
                  <c:x val="-0.1684714410698662"/>
                  <c:y val="-0.24052344542229295"/>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7A0-426D-91D4-19C6149A4CF9}"/>
                </c:ext>
              </c:extLst>
            </c:dLbl>
            <c:dLbl>
              <c:idx val="1"/>
              <c:layout>
                <c:manualLayout>
                  <c:x val="0.16257578913746892"/>
                  <c:y val="0.17149372045270045"/>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7A0-426D-91D4-19C6149A4CF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SWB!$A$5:$A$6</c:f>
              <c:strCache>
                <c:ptCount val="2"/>
                <c:pt idx="0">
                  <c:v>Men</c:v>
                </c:pt>
                <c:pt idx="1">
                  <c:v>Women</c:v>
                </c:pt>
              </c:strCache>
            </c:strRef>
          </c:cat>
          <c:val>
            <c:numRef>
              <c:f>SWB!$B$5:$B$6</c:f>
              <c:numCache>
                <c:formatCode>0.0%</c:formatCode>
                <c:ptCount val="2"/>
                <c:pt idx="0">
                  <c:v>0.73699999999999999</c:v>
                </c:pt>
                <c:pt idx="1">
                  <c:v>0.26300000000000001</c:v>
                </c:pt>
              </c:numCache>
            </c:numRef>
          </c:val>
          <c:extLst>
            <c:ext xmlns:c16="http://schemas.microsoft.com/office/drawing/2014/chart" uri="{C3380CC4-5D6E-409C-BE32-E72D297353CC}">
              <c16:uniqueId val="{00000004-F7A0-426D-91D4-19C6149A4CF9}"/>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SWB!$B$10</c:f>
              <c:strCache>
                <c:ptCount val="1"/>
                <c:pt idx="0">
                  <c:v>Lower middle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F7-4BFC-9212-CF96F7A7A9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F7-4BFC-9212-CF96F7A7A9BE}"/>
              </c:ext>
            </c:extLst>
          </c:dPt>
          <c:dLbls>
            <c:dLbl>
              <c:idx val="0"/>
              <c:layout>
                <c:manualLayout>
                  <c:x val="-0.19591849095786104"/>
                  <c:y val="7.9301169827998341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DF7-4BFC-9212-CF96F7A7A9BE}"/>
                </c:ext>
              </c:extLst>
            </c:dLbl>
            <c:dLbl>
              <c:idx val="1"/>
              <c:layout>
                <c:manualLayout>
                  <c:x val="0.22734273600415333"/>
                  <c:y val="-0.11545165101784957"/>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DF7-4BFC-9212-CF96F7A7A9B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SWB!$A$11:$A$12</c:f>
              <c:strCache>
                <c:ptCount val="2"/>
                <c:pt idx="0">
                  <c:v>Men</c:v>
                </c:pt>
                <c:pt idx="1">
                  <c:v>Women</c:v>
                </c:pt>
              </c:strCache>
            </c:strRef>
          </c:cat>
          <c:val>
            <c:numRef>
              <c:f>SWB!$B$11:$B$12</c:f>
              <c:numCache>
                <c:formatCode>0.0%</c:formatCode>
                <c:ptCount val="2"/>
                <c:pt idx="0">
                  <c:v>0.26300000000000001</c:v>
                </c:pt>
                <c:pt idx="1">
                  <c:v>0.73699999999999999</c:v>
                </c:pt>
              </c:numCache>
            </c:numRef>
          </c:val>
          <c:extLst>
            <c:ext xmlns:c16="http://schemas.microsoft.com/office/drawing/2014/chart" uri="{C3380CC4-5D6E-409C-BE32-E72D297353CC}">
              <c16:uniqueId val="{00000004-EDF7-4BFC-9212-CF96F7A7A9BE}"/>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SWB!$B$16</c:f>
              <c:strCache>
                <c:ptCount val="1"/>
                <c:pt idx="0">
                  <c:v>Upper middle quartile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5B-4839-B94A-6560C6BF96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5B-4839-B94A-6560C6BF9631}"/>
              </c:ext>
            </c:extLst>
          </c:dPt>
          <c:dLbls>
            <c:dLbl>
              <c:idx val="0"/>
              <c:layout>
                <c:manualLayout>
                  <c:x val="-0.16771216097987751"/>
                  <c:y val="0.13636227763196268"/>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237510936132983"/>
                      <c:h val="0.16865740740740742"/>
                    </c:manualLayout>
                  </c15:layout>
                </c:ext>
                <c:ext xmlns:c16="http://schemas.microsoft.com/office/drawing/2014/chart" uri="{C3380CC4-5D6E-409C-BE32-E72D297353CC}">
                  <c16:uniqueId val="{00000001-235B-4839-B94A-6560C6BF9631}"/>
                </c:ext>
              </c:extLst>
            </c:dLbl>
            <c:dLbl>
              <c:idx val="1"/>
              <c:layout>
                <c:manualLayout>
                  <c:x val="0.20440724437004426"/>
                  <c:y val="-0.1510212224941698"/>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35B-4839-B94A-6560C6BF963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SWB!$A$17:$A$18</c:f>
              <c:strCache>
                <c:ptCount val="2"/>
                <c:pt idx="0">
                  <c:v>Men</c:v>
                </c:pt>
                <c:pt idx="1">
                  <c:v>Women</c:v>
                </c:pt>
              </c:strCache>
            </c:strRef>
          </c:cat>
          <c:val>
            <c:numRef>
              <c:f>SWB!$B$17:$B$18</c:f>
              <c:numCache>
                <c:formatCode>0.0%</c:formatCode>
                <c:ptCount val="2"/>
                <c:pt idx="0">
                  <c:v>0.42099999999999999</c:v>
                </c:pt>
                <c:pt idx="1">
                  <c:v>0.57899999999999996</c:v>
                </c:pt>
              </c:numCache>
            </c:numRef>
          </c:val>
          <c:extLst>
            <c:ext xmlns:c16="http://schemas.microsoft.com/office/drawing/2014/chart" uri="{C3380CC4-5D6E-409C-BE32-E72D297353CC}">
              <c16:uniqueId val="{00000004-235B-4839-B94A-6560C6BF9631}"/>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SWB!$B$22</c:f>
              <c:strCache>
                <c:ptCount val="1"/>
                <c:pt idx="0">
                  <c:v>Upper quartile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B7-42B1-8CCB-2B0AA6CFBA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B7-42B1-8CCB-2B0AA6CFBA84}"/>
              </c:ext>
            </c:extLst>
          </c:dPt>
          <c:dLbls>
            <c:dLbl>
              <c:idx val="0"/>
              <c:layout>
                <c:manualLayout>
                  <c:x val="-0.14722222222222223"/>
                  <c:y val="0.14236439195100611"/>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
                      <c:h val="0.17939814814814814"/>
                    </c:manualLayout>
                  </c15:layout>
                </c:ext>
                <c:ext xmlns:c16="http://schemas.microsoft.com/office/drawing/2014/chart" uri="{C3380CC4-5D6E-409C-BE32-E72D297353CC}">
                  <c16:uniqueId val="{00000001-3AB7-42B1-8CCB-2B0AA6CFBA84}"/>
                </c:ext>
              </c:extLst>
            </c:dLbl>
            <c:dLbl>
              <c:idx val="1"/>
              <c:layout>
                <c:manualLayout>
                  <c:x val="0.15585433070866142"/>
                  <c:y val="-0.1931445027704870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AB7-42B1-8CCB-2B0AA6CFBA8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SWB!$A$23:$A$24</c:f>
              <c:strCache>
                <c:ptCount val="2"/>
                <c:pt idx="0">
                  <c:v>Men</c:v>
                </c:pt>
                <c:pt idx="1">
                  <c:v>Women</c:v>
                </c:pt>
              </c:strCache>
            </c:strRef>
          </c:cat>
          <c:val>
            <c:numRef>
              <c:f>SWB!$B$23:$B$24</c:f>
              <c:numCache>
                <c:formatCode>0.0%</c:formatCode>
                <c:ptCount val="2"/>
                <c:pt idx="0">
                  <c:v>0.222</c:v>
                </c:pt>
                <c:pt idx="1">
                  <c:v>0.77800000000000002</c:v>
                </c:pt>
              </c:numCache>
            </c:numRef>
          </c:val>
          <c:extLst>
            <c:ext xmlns:c16="http://schemas.microsoft.com/office/drawing/2014/chart" uri="{C3380CC4-5D6E-409C-BE32-E72D297353CC}">
              <c16:uniqueId val="{00000004-3AB7-42B1-8CCB-2B0AA6CFBA84}"/>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6BA71814DA44BBA29499CFC0A9672" ma:contentTypeVersion="10" ma:contentTypeDescription="Create a new document." ma:contentTypeScope="" ma:versionID="727a62cafa41e7d4e1f0a92114836023">
  <xsd:schema xmlns:xsd="http://www.w3.org/2001/XMLSchema" xmlns:xs="http://www.w3.org/2001/XMLSchema" xmlns:p="http://schemas.microsoft.com/office/2006/metadata/properties" xmlns:ns3="81aba3e0-0f5a-4b43-9f72-a3d1ae916933" xmlns:ns4="51df5087-a70c-4852-83e8-0bd2605ebb43" targetNamespace="http://schemas.microsoft.com/office/2006/metadata/properties" ma:root="true" ma:fieldsID="1c1d4edbddf3210d31409ffc7312bf81" ns3:_="" ns4:_="">
    <xsd:import namespace="81aba3e0-0f5a-4b43-9f72-a3d1ae916933"/>
    <xsd:import namespace="51df5087-a70c-4852-83e8-0bd2605eb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a3e0-0f5a-4b43-9f72-a3d1ae916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f5087-a70c-4852-83e8-0bd2605ebb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72EE-12CD-48F2-9A72-6BEE14400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a3e0-0f5a-4b43-9f72-a3d1ae916933"/>
    <ds:schemaRef ds:uri="51df5087-a70c-4852-83e8-0bd2605eb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0C837-2A31-4217-9642-C030499449AC}">
  <ds:schemaRefs>
    <ds:schemaRef ds:uri="http://schemas.microsoft.com/sharepoint/v3/contenttype/forms"/>
  </ds:schemaRefs>
</ds:datastoreItem>
</file>

<file path=customXml/itemProps3.xml><?xml version="1.0" encoding="utf-8"?>
<ds:datastoreItem xmlns:ds="http://schemas.openxmlformats.org/officeDocument/2006/customXml" ds:itemID="{AEF7B945-B49F-4DE1-B18F-F47883C949DF}">
  <ds:schemaRefs>
    <ds:schemaRef ds:uri="http://schemas.microsoft.com/office/2006/documentManagement/types"/>
    <ds:schemaRef ds:uri="51df5087-a70c-4852-83e8-0bd2605ebb43"/>
    <ds:schemaRef ds:uri="81aba3e0-0f5a-4b43-9f72-a3d1ae91693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AD515A-CCD2-4D40-8589-BE589D52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Royalblind.Org</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Clement</dc:creator>
  <cp:lastModifiedBy>Kate Clement</cp:lastModifiedBy>
  <cp:revision>3</cp:revision>
  <cp:lastPrinted>2020-06-09T21:21:00Z</cp:lastPrinted>
  <dcterms:created xsi:type="dcterms:W3CDTF">2020-06-04T14:38:00Z</dcterms:created>
  <dcterms:modified xsi:type="dcterms:W3CDTF">2020-06-09T21:22:00Z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0x01010095D6BA71814DA44BBA29499CFC0A9672</vt:lpwstr>
  </property>
</Properties>
</file>