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CB8C" w14:textId="77777777" w:rsidR="00996196" w:rsidRPr="003F0792" w:rsidRDefault="00DA32D3" w:rsidP="43B00504">
      <w:pPr>
        <w:pStyle w:val="Heading1"/>
        <w:rPr>
          <w:rFonts w:ascii="Tahoma" w:eastAsia="Tahoma" w:hAnsi="Tahoma" w:cs="Tahoma"/>
          <w:color w:val="auto"/>
          <w:sz w:val="28"/>
          <w:szCs w:val="28"/>
        </w:rPr>
      </w:pPr>
      <w:r w:rsidRPr="43B00504">
        <w:rPr>
          <w:rFonts w:ascii="Tahoma" w:eastAsia="Tahoma" w:hAnsi="Tahoma" w:cs="Tahoma"/>
          <w:color w:val="auto"/>
        </w:rPr>
        <w:t>Written Evidence to the Public Accounts Committee</w:t>
      </w:r>
    </w:p>
    <w:p w14:paraId="22C29A98" w14:textId="77777777" w:rsidR="00996196" w:rsidRPr="003F0792" w:rsidRDefault="00DA32D3" w:rsidP="43B00504">
      <w:pPr>
        <w:pStyle w:val="Heading1"/>
        <w:rPr>
          <w:rFonts w:ascii="Tahoma" w:eastAsia="Tahoma" w:hAnsi="Tahoma" w:cs="Tahoma"/>
          <w:color w:val="auto"/>
          <w:sz w:val="28"/>
          <w:szCs w:val="28"/>
        </w:rPr>
      </w:pPr>
      <w:r w:rsidRPr="43B00504">
        <w:rPr>
          <w:rFonts w:ascii="Tahoma" w:eastAsia="Tahoma" w:hAnsi="Tahoma" w:cs="Tahoma"/>
          <w:color w:val="auto"/>
        </w:rPr>
        <w:t>Inquiry into the Access to Work Scheme</w:t>
      </w:r>
    </w:p>
    <w:p w14:paraId="1EB17FE1" w14:textId="77777777" w:rsidR="00996196" w:rsidRPr="003F0792" w:rsidRDefault="00DA32D3" w:rsidP="43B00504">
      <w:pPr>
        <w:spacing w:after="80" w:line="360" w:lineRule="auto"/>
        <w:rPr>
          <w:rFonts w:ascii="Tahoma" w:hAnsi="Tahoma" w:cs="Tahoma"/>
          <w:sz w:val="28"/>
          <w:szCs w:val="28"/>
        </w:rPr>
      </w:pPr>
      <w:r w:rsidRPr="43B00504">
        <w:rPr>
          <w:rFonts w:ascii="Tahoma" w:hAnsi="Tahoma" w:cs="Tahoma"/>
          <w:sz w:val="28"/>
          <w:szCs w:val="28"/>
        </w:rPr>
        <w:t>Submitted by Sight Scotland and Sight Scotland Veterans</w:t>
      </w:r>
    </w:p>
    <w:p w14:paraId="459A32A4" w14:textId="4E63419D" w:rsidR="00996196" w:rsidRPr="003F0792" w:rsidRDefault="00DA32D3" w:rsidP="43B00504">
      <w:pPr>
        <w:spacing w:after="400" w:line="360" w:lineRule="auto"/>
        <w:rPr>
          <w:rFonts w:ascii="Tahoma" w:hAnsi="Tahoma" w:cs="Tahoma"/>
          <w:sz w:val="28"/>
          <w:szCs w:val="28"/>
        </w:rPr>
      </w:pPr>
      <w:r w:rsidRPr="43B00504">
        <w:rPr>
          <w:rFonts w:ascii="Tahoma" w:hAnsi="Tahoma" w:cs="Tahoma"/>
          <w:sz w:val="28"/>
          <w:szCs w:val="28"/>
        </w:rPr>
        <w:t>February 2026</w:t>
      </w:r>
    </w:p>
    <w:p w14:paraId="47959EFC"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About Sight Scotland and Sight Scotland Veterans</w:t>
      </w:r>
    </w:p>
    <w:p w14:paraId="5201087B" w14:textId="52050A5D" w:rsidR="00996196" w:rsidRPr="00DD6B85" w:rsidRDefault="00DD6B85" w:rsidP="43B00504">
      <w:pPr>
        <w:spacing w:after="200" w:line="360" w:lineRule="auto"/>
        <w:rPr>
          <w:rFonts w:ascii="Tahoma" w:hAnsi="Tahoma" w:cs="Tahoma"/>
          <w:sz w:val="28"/>
          <w:szCs w:val="28"/>
        </w:rPr>
      </w:pPr>
      <w:r w:rsidRPr="43B00504">
        <w:rPr>
          <w:rFonts w:ascii="Tahoma" w:hAnsi="Tahoma" w:cs="Tahoma"/>
          <w:sz w:val="28"/>
          <w:szCs w:val="28"/>
        </w:rPr>
        <w:t>1.</w:t>
      </w:r>
      <w:r w:rsidR="00302061" w:rsidRPr="43B00504">
        <w:rPr>
          <w:rFonts w:ascii="Tahoma" w:hAnsi="Tahoma" w:cs="Tahoma"/>
          <w:sz w:val="28"/>
          <w:szCs w:val="28"/>
        </w:rPr>
        <w:t xml:space="preserve"> </w:t>
      </w:r>
      <w:r w:rsidRPr="43B00504">
        <w:rPr>
          <w:rFonts w:ascii="Tahoma" w:hAnsi="Tahoma" w:cs="Tahoma"/>
          <w:sz w:val="28"/>
          <w:szCs w:val="28"/>
        </w:rPr>
        <w:t>Sight Scotland is one of Scotland’s oldest charities, founded in 1793, and is dedicated to supporting people affected by sight loss at every stage of life. We provide specialist education through the Royal Blind School, residential care, community support services, and supported employment through the Scottish Braille Press. Together with our sister charity, Sight Scotland Veterans — which has been supporting ex-service personnel with sight loss since 1915 — we form Scotland’s largest third-sector visual impairment organisation.</w:t>
      </w:r>
    </w:p>
    <w:p w14:paraId="0CAF35D9" w14:textId="6DB8D186"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2.We submit this evidence drawing on our direct, frontline experience as both an employer of people with visual impairments and a provider of supported employment. The Scottish Braille Press, which is part of Sight Scotland, has been providing supported employment opportunities for disabled people — particularly those with visual impairments — for over 125 years. We are a Level 2 Disability Confident employer. This means we have first-hand, day-to-day operational experience of the Access to Work scheme from the perspective of both a supported employer and as an organisation supporting visually impaired people into and in work.</w:t>
      </w:r>
    </w:p>
    <w:p w14:paraId="38B16D2C" w14:textId="2393DEBC"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 xml:space="preserve">3. We also submit evidence informed by our work with Sight Scotland Veterans, where the intersection of sight loss, service-related health </w:t>
      </w:r>
      <w:r w:rsidRPr="43B00504">
        <w:rPr>
          <w:rFonts w:ascii="Tahoma" w:hAnsi="Tahoma" w:cs="Tahoma"/>
          <w:sz w:val="28"/>
          <w:szCs w:val="28"/>
        </w:rPr>
        <w:lastRenderedPageBreak/>
        <w:t>conditions, and the transition from military to civilian employment creates additional complexity around workplace support needs.</w:t>
      </w:r>
    </w:p>
    <w:p w14:paraId="09B5F253"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Summary</w:t>
      </w:r>
    </w:p>
    <w:p w14:paraId="241E1C9E" w14:textId="363F22B0"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4. The NAO report confirms what we and many other organisations have been saying for years: the Access to Work scheme is in serious operational difficulty, and disabled people are paying the price. The findings — that applications now take an average of 109 working days to process against a target of 25 days,</w:t>
      </w:r>
      <w:r w:rsidRPr="43B00504">
        <w:rPr>
          <w:rStyle w:val="FootnoteReference"/>
          <w:rFonts w:ascii="Tahoma" w:hAnsi="Tahoma" w:cs="Tahoma"/>
          <w:sz w:val="28"/>
          <w:szCs w:val="28"/>
        </w:rPr>
        <w:footnoteReference w:id="1"/>
      </w:r>
      <w:r w:rsidRPr="43B00504">
        <w:rPr>
          <w:rFonts w:ascii="Tahoma" w:hAnsi="Tahoma" w:cs="Tahoma"/>
          <w:sz w:val="28"/>
          <w:szCs w:val="28"/>
        </w:rPr>
        <w:t xml:space="preserve"> that 62,100 applications were awaiting a decision at March 2025,</w:t>
      </w:r>
      <w:r w:rsidRPr="43B00504">
        <w:rPr>
          <w:rStyle w:val="FootnoteReference"/>
          <w:rFonts w:ascii="Tahoma" w:hAnsi="Tahoma" w:cs="Tahoma"/>
          <w:sz w:val="28"/>
          <w:szCs w:val="28"/>
        </w:rPr>
        <w:footnoteReference w:id="2"/>
      </w:r>
      <w:r w:rsidRPr="43B00504">
        <w:rPr>
          <w:rFonts w:ascii="Tahoma" w:hAnsi="Tahoma" w:cs="Tahoma"/>
          <w:sz w:val="28"/>
          <w:szCs w:val="28"/>
        </w:rPr>
        <w:t xml:space="preserve"> and that complaints nearly tripled from 234 in 2022-23 to 657 in 2024-25, with 800 recorded in just the first half of 2025-26</w:t>
      </w:r>
      <w:r w:rsidRPr="43B00504">
        <w:rPr>
          <w:rStyle w:val="FootnoteReference"/>
          <w:rFonts w:ascii="Tahoma" w:hAnsi="Tahoma" w:cs="Tahoma"/>
          <w:sz w:val="28"/>
          <w:szCs w:val="28"/>
        </w:rPr>
        <w:footnoteReference w:id="3"/>
      </w:r>
      <w:r w:rsidRPr="43B00504">
        <w:rPr>
          <w:rFonts w:ascii="Tahoma" w:hAnsi="Tahoma" w:cs="Tahoma"/>
          <w:sz w:val="28"/>
          <w:szCs w:val="28"/>
        </w:rPr>
        <w:t xml:space="preserve"> — are deeply troubling but not surprising to us. We have witnessed these failures directly through our work as a supported employer.</w:t>
      </w:r>
    </w:p>
    <w:p w14:paraId="323C914C" w14:textId="7195AECB"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5. Our evidence focuses on four areas where we can offer particular insight: the Scottish context and how Access to Work failures undermine devolved employment programmes; the real-world impact of processing delays and administrative errors on disabled employees and their employers; the failure of the current applicant-led model to reflect employer involvement in supported employment; and the lack of awareness of the scheme amongst both employers and disabled people. We set out our recommendations for reform before turning to the detailed evidence that underpins them.</w:t>
      </w:r>
    </w:p>
    <w:p w14:paraId="589ED76A"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lastRenderedPageBreak/>
        <w:t>The Scottish Context</w:t>
      </w:r>
    </w:p>
    <w:p w14:paraId="60BAF04C" w14:textId="0B43ED9D"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 xml:space="preserve">6. While </w:t>
      </w:r>
      <w:r w:rsidR="244FCEAE" w:rsidRPr="43B00504">
        <w:rPr>
          <w:rFonts w:ascii="Tahoma" w:hAnsi="Tahoma" w:cs="Tahoma"/>
          <w:sz w:val="28"/>
          <w:szCs w:val="28"/>
        </w:rPr>
        <w:t xml:space="preserve">the provision of </w:t>
      </w:r>
      <w:r w:rsidR="009201A2" w:rsidRPr="43B00504">
        <w:rPr>
          <w:rFonts w:ascii="Tahoma" w:hAnsi="Tahoma" w:cs="Tahoma"/>
          <w:sz w:val="28"/>
          <w:szCs w:val="28"/>
        </w:rPr>
        <w:t xml:space="preserve">Access to Work </w:t>
      </w:r>
      <w:r w:rsidRPr="43B00504">
        <w:rPr>
          <w:rFonts w:ascii="Tahoma" w:hAnsi="Tahoma" w:cs="Tahoma"/>
          <w:sz w:val="28"/>
          <w:szCs w:val="28"/>
        </w:rPr>
        <w:t xml:space="preserve">is a reserved matter administered by DWP across Great Britain, Scotland has its own devolved employability </w:t>
      </w:r>
      <w:proofErr w:type="gramStart"/>
      <w:r w:rsidRPr="43B00504">
        <w:rPr>
          <w:rFonts w:ascii="Tahoma" w:hAnsi="Tahoma" w:cs="Tahoma"/>
          <w:sz w:val="28"/>
          <w:szCs w:val="28"/>
        </w:rPr>
        <w:t>services</w:t>
      </w:r>
      <w:proofErr w:type="gramEnd"/>
      <w:r w:rsidRPr="43B00504">
        <w:rPr>
          <w:rFonts w:ascii="Tahoma" w:hAnsi="Tahoma" w:cs="Tahoma"/>
          <w:sz w:val="28"/>
          <w:szCs w:val="28"/>
        </w:rPr>
        <w:t xml:space="preserve"> and </w:t>
      </w:r>
      <w:r w:rsidR="500C2DAC" w:rsidRPr="43B00504">
        <w:rPr>
          <w:rFonts w:ascii="Tahoma" w:hAnsi="Tahoma" w:cs="Tahoma"/>
          <w:sz w:val="28"/>
          <w:szCs w:val="28"/>
        </w:rPr>
        <w:t xml:space="preserve">the </w:t>
      </w:r>
      <w:r w:rsidR="4FCC10AB" w:rsidRPr="43B00504">
        <w:rPr>
          <w:rFonts w:ascii="Tahoma" w:hAnsi="Tahoma" w:cs="Tahoma"/>
          <w:sz w:val="28"/>
          <w:szCs w:val="28"/>
        </w:rPr>
        <w:t>Scottish</w:t>
      </w:r>
      <w:r w:rsidR="500C2DAC" w:rsidRPr="43B00504">
        <w:rPr>
          <w:rFonts w:ascii="Tahoma" w:hAnsi="Tahoma" w:cs="Tahoma"/>
          <w:sz w:val="28"/>
          <w:szCs w:val="28"/>
        </w:rPr>
        <w:t xml:space="preserve"> </w:t>
      </w:r>
      <w:r w:rsidR="33D3247D" w:rsidRPr="43B00504">
        <w:rPr>
          <w:rFonts w:ascii="Tahoma" w:hAnsi="Tahoma" w:cs="Tahoma"/>
          <w:sz w:val="28"/>
          <w:szCs w:val="28"/>
        </w:rPr>
        <w:t>G</w:t>
      </w:r>
      <w:r w:rsidR="3EDAD6D6" w:rsidRPr="43B00504">
        <w:rPr>
          <w:rFonts w:ascii="Tahoma" w:hAnsi="Tahoma" w:cs="Tahoma"/>
          <w:sz w:val="28"/>
          <w:szCs w:val="28"/>
        </w:rPr>
        <w:t>overnment</w:t>
      </w:r>
      <w:r w:rsidR="500C2DAC" w:rsidRPr="43B00504">
        <w:rPr>
          <w:rFonts w:ascii="Tahoma" w:hAnsi="Tahoma" w:cs="Tahoma"/>
          <w:sz w:val="28"/>
          <w:szCs w:val="28"/>
        </w:rPr>
        <w:t xml:space="preserve"> </w:t>
      </w:r>
      <w:r w:rsidR="103E5A5F" w:rsidRPr="43B00504">
        <w:rPr>
          <w:rFonts w:ascii="Tahoma" w:hAnsi="Tahoma" w:cs="Tahoma"/>
          <w:sz w:val="28"/>
          <w:szCs w:val="28"/>
        </w:rPr>
        <w:t xml:space="preserve">has </w:t>
      </w:r>
      <w:r w:rsidRPr="43B00504">
        <w:rPr>
          <w:rFonts w:ascii="Tahoma" w:hAnsi="Tahoma" w:cs="Tahoma"/>
          <w:sz w:val="28"/>
          <w:szCs w:val="28"/>
        </w:rPr>
        <w:t xml:space="preserve">a stated commitment to halving the disability employment gap. The Scottish Government has invested significantly in programmes such as Fair Start Scotland and </w:t>
      </w:r>
      <w:r w:rsidR="279AAB2A" w:rsidRPr="43B00504">
        <w:rPr>
          <w:rFonts w:ascii="Tahoma" w:hAnsi="Tahoma" w:cs="Tahoma"/>
          <w:sz w:val="28"/>
          <w:szCs w:val="28"/>
        </w:rPr>
        <w:t>more</w:t>
      </w:r>
      <w:r w:rsidR="45E8936B" w:rsidRPr="43B00504">
        <w:rPr>
          <w:rFonts w:ascii="Tahoma" w:hAnsi="Tahoma" w:cs="Tahoma"/>
          <w:sz w:val="28"/>
          <w:szCs w:val="28"/>
        </w:rPr>
        <w:t xml:space="preserve"> recently the No One Left Behind: employability strategic plan 2024 to 2027</w:t>
      </w:r>
      <w:r w:rsidR="7F5E225B" w:rsidRPr="43B00504">
        <w:rPr>
          <w:rFonts w:ascii="Tahoma" w:hAnsi="Tahoma" w:cs="Tahoma"/>
          <w:sz w:val="28"/>
          <w:szCs w:val="28"/>
        </w:rPr>
        <w:t>.</w:t>
      </w:r>
      <w:r w:rsidRPr="43B00504">
        <w:rPr>
          <w:rFonts w:ascii="Tahoma" w:hAnsi="Tahoma" w:cs="Tahoma"/>
          <w:sz w:val="28"/>
          <w:szCs w:val="28"/>
        </w:rPr>
        <w:t xml:space="preserve"> However, the effectiveness of these devolved programmes is undermined when the </w:t>
      </w:r>
      <w:r w:rsidR="1B879F84" w:rsidRPr="43B00504">
        <w:rPr>
          <w:rFonts w:ascii="Tahoma" w:hAnsi="Tahoma" w:cs="Tahoma"/>
          <w:sz w:val="28"/>
          <w:szCs w:val="28"/>
        </w:rPr>
        <w:t xml:space="preserve">GB-wide </w:t>
      </w:r>
      <w:r w:rsidRPr="43B00504">
        <w:rPr>
          <w:rFonts w:ascii="Tahoma" w:hAnsi="Tahoma" w:cs="Tahoma"/>
          <w:sz w:val="28"/>
          <w:szCs w:val="28"/>
        </w:rPr>
        <w:t>Access to Work scheme fails to function properly. Delays in Access to Work processing directly impact the ability of Scottish employers to offer and sustain roles for disabled people.</w:t>
      </w:r>
    </w:p>
    <w:p w14:paraId="7EA177EF" w14:textId="015952CB"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 xml:space="preserve">7. Two thirds of working-age people registered as blind or partially sighted in Scotland are not in paid employment. Only around one in four visually impaired people of working age are in work. These are stark figures that demonstrate the scale of the challenge. </w:t>
      </w:r>
      <w:r w:rsidR="7F5E225B" w:rsidRPr="43B00504">
        <w:rPr>
          <w:rFonts w:ascii="Tahoma" w:hAnsi="Tahoma" w:cs="Tahoma"/>
          <w:sz w:val="28"/>
          <w:szCs w:val="28"/>
        </w:rPr>
        <w:t xml:space="preserve">The </w:t>
      </w:r>
      <w:r w:rsidR="12B3A709" w:rsidRPr="43B00504">
        <w:rPr>
          <w:rFonts w:ascii="Tahoma" w:hAnsi="Tahoma" w:cs="Tahoma"/>
          <w:sz w:val="28"/>
          <w:szCs w:val="28"/>
        </w:rPr>
        <w:t xml:space="preserve">Access to Work </w:t>
      </w:r>
      <w:r w:rsidR="00575121" w:rsidRPr="43B00504">
        <w:rPr>
          <w:rStyle w:val="FootnoteReference"/>
          <w:rFonts w:ascii="Tahoma" w:hAnsi="Tahoma" w:cs="Tahoma"/>
          <w:sz w:val="28"/>
          <w:szCs w:val="28"/>
        </w:rPr>
        <w:footnoteReference w:id="4"/>
      </w:r>
      <w:r w:rsidR="7F5E225B" w:rsidRPr="43B00504">
        <w:t>￼</w:t>
      </w:r>
      <w:r w:rsidRPr="43B00504">
        <w:rPr>
          <w:rFonts w:ascii="Tahoma" w:hAnsi="Tahoma" w:cs="Tahoma"/>
          <w:sz w:val="28"/>
          <w:szCs w:val="28"/>
        </w:rPr>
        <w:t xml:space="preserve"> A properly functioning Access to Work scheme is essential to closing the disability employment gap, and the current </w:t>
      </w:r>
      <w:r w:rsidR="12C3C022" w:rsidRPr="43B00504">
        <w:rPr>
          <w:rFonts w:ascii="Tahoma" w:hAnsi="Tahoma" w:cs="Tahoma"/>
          <w:sz w:val="28"/>
          <w:szCs w:val="28"/>
        </w:rPr>
        <w:t xml:space="preserve">failing scheme </w:t>
      </w:r>
      <w:r w:rsidRPr="43B00504">
        <w:rPr>
          <w:rFonts w:ascii="Tahoma" w:hAnsi="Tahoma" w:cs="Tahoma"/>
          <w:sz w:val="28"/>
          <w:szCs w:val="28"/>
        </w:rPr>
        <w:t>actively widens it.</w:t>
      </w:r>
    </w:p>
    <w:p w14:paraId="13831459"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Recommendations</w:t>
      </w:r>
    </w:p>
    <w:p w14:paraId="26B04C03" w14:textId="472C39B6" w:rsidR="00996196" w:rsidRPr="00DC3A5C" w:rsidRDefault="00DD6B85" w:rsidP="43B00504">
      <w:pPr>
        <w:spacing w:after="200" w:line="360" w:lineRule="auto"/>
        <w:rPr>
          <w:rFonts w:ascii="Tahoma" w:hAnsi="Tahoma" w:cs="Tahoma"/>
          <w:sz w:val="28"/>
          <w:szCs w:val="28"/>
        </w:rPr>
      </w:pPr>
      <w:r w:rsidRPr="43B00504">
        <w:rPr>
          <w:rFonts w:ascii="Tahoma" w:hAnsi="Tahoma" w:cs="Tahoma"/>
          <w:sz w:val="28"/>
          <w:szCs w:val="28"/>
        </w:rPr>
        <w:t>8. Drawing on our frontline experience as a supported employer and the evidence set out in this submission, we recommend that the Committee press DWP on the following:</w:t>
      </w:r>
    </w:p>
    <w:p w14:paraId="5460D2F9" w14:textId="46E6A6CA"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lastRenderedPageBreak/>
        <w:t xml:space="preserve">Joint employer-employee applications: </w:t>
      </w:r>
      <w:r w:rsidRPr="43B00504">
        <w:rPr>
          <w:rFonts w:ascii="Tahoma" w:hAnsi="Tahoma" w:cs="Tahoma"/>
          <w:sz w:val="28"/>
          <w:szCs w:val="28"/>
        </w:rPr>
        <w:t xml:space="preserve">For roles requiring support workers, the </w:t>
      </w:r>
      <w:r w:rsidR="2A7A6C72" w:rsidRPr="43B00504">
        <w:rPr>
          <w:rFonts w:ascii="Tahoma" w:hAnsi="Tahoma" w:cs="Tahoma"/>
          <w:sz w:val="28"/>
          <w:szCs w:val="28"/>
        </w:rPr>
        <w:t xml:space="preserve">Access to Work </w:t>
      </w:r>
      <w:r w:rsidRPr="43B00504">
        <w:rPr>
          <w:rFonts w:ascii="Tahoma" w:hAnsi="Tahoma" w:cs="Tahoma"/>
          <w:sz w:val="28"/>
          <w:szCs w:val="28"/>
        </w:rPr>
        <w:t>application process should be a joint one between the employer and employee, so that the level and nature of support required is communicated accurately from the outset. This would address the problems we describe below (paragraphs 16–19) where employees are unable to articulate the support they need, and where employers bearing the cost of support have no input into the process.</w:t>
      </w:r>
    </w:p>
    <w:p w14:paraId="5ADDF3C7" w14:textId="77777777"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t xml:space="preserve">A trackable application system: </w:t>
      </w:r>
      <w:r w:rsidRPr="43B00504">
        <w:rPr>
          <w:rFonts w:ascii="Tahoma" w:hAnsi="Tahoma" w:cs="Tahoma"/>
          <w:sz w:val="28"/>
          <w:szCs w:val="28"/>
        </w:rPr>
        <w:t>In our experience, applicants have been told by DWP staff that the reference number provided on submission of their online application cannot be used to track it (see paragraph 11). If this remains the case, it is plainly not fit for purpose. Automated tracking notifications should be standard, so that applicants and employers know where their application is at every stage. The NAO’s recommendation that DWP improve data quality and undertake process mining analysis is welcome,</w:t>
      </w:r>
      <w:r w:rsidRPr="43B00504">
        <w:rPr>
          <w:rStyle w:val="FootnoteReference"/>
          <w:rFonts w:ascii="Tahoma" w:hAnsi="Tahoma" w:cs="Tahoma"/>
          <w:sz w:val="28"/>
          <w:szCs w:val="28"/>
        </w:rPr>
        <w:footnoteReference w:id="5"/>
      </w:r>
      <w:r w:rsidRPr="43B00504">
        <w:rPr>
          <w:rFonts w:ascii="Tahoma" w:hAnsi="Tahoma" w:cs="Tahoma"/>
          <w:sz w:val="28"/>
          <w:szCs w:val="28"/>
        </w:rPr>
        <w:t xml:space="preserve"> but applicants need visibility of progress now, not after a lengthy internal review.</w:t>
      </w:r>
    </w:p>
    <w:p w14:paraId="0FDDECD7" w14:textId="50947222"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t xml:space="preserve">Timely processing of applications and payments: </w:t>
      </w:r>
      <w:r w:rsidRPr="43B00504">
        <w:rPr>
          <w:rFonts w:ascii="Tahoma" w:hAnsi="Tahoma" w:cs="Tahoma"/>
          <w:sz w:val="28"/>
          <w:szCs w:val="28"/>
        </w:rPr>
        <w:t>We welcome the NAO’s recommendations on productivity improvements, but note that DWP has itself acknowledged it cannot reduce backlogs to acceptable levels without policy changes, additional budget, and further productivity gains.</w:t>
      </w:r>
      <w:r w:rsidRPr="43B00504">
        <w:rPr>
          <w:rStyle w:val="FootnoteReference"/>
          <w:rFonts w:ascii="Tahoma" w:hAnsi="Tahoma" w:cs="Tahoma"/>
          <w:sz w:val="28"/>
          <w:szCs w:val="28"/>
        </w:rPr>
        <w:footnoteReference w:id="6"/>
      </w:r>
      <w:r w:rsidRPr="43B00504">
        <w:rPr>
          <w:rFonts w:ascii="Tahoma" w:hAnsi="Tahoma" w:cs="Tahoma"/>
          <w:sz w:val="28"/>
          <w:szCs w:val="28"/>
        </w:rPr>
        <w:t xml:space="preserve"> The Committee should press DWP on when it expects to bring processing times back to the 25-day target</w:t>
      </w:r>
      <w:r w:rsidRPr="43B00504">
        <w:rPr>
          <w:rStyle w:val="FootnoteReference"/>
          <w:rFonts w:ascii="Tahoma" w:hAnsi="Tahoma" w:cs="Tahoma"/>
          <w:sz w:val="28"/>
          <w:szCs w:val="28"/>
        </w:rPr>
        <w:footnoteReference w:id="7"/>
      </w:r>
      <w:r w:rsidRPr="43B00504">
        <w:rPr>
          <w:rFonts w:ascii="Tahoma" w:hAnsi="Tahoma" w:cs="Tahoma"/>
          <w:sz w:val="28"/>
          <w:szCs w:val="28"/>
        </w:rPr>
        <w:t xml:space="preserve"> and what specific plan exists to clear the backlog of over 62,000 applications. DWP should also begin </w:t>
      </w:r>
      <w:r w:rsidRPr="43B00504">
        <w:rPr>
          <w:rFonts w:ascii="Tahoma" w:hAnsi="Tahoma" w:cs="Tahoma"/>
          <w:sz w:val="28"/>
          <w:szCs w:val="28"/>
        </w:rPr>
        <w:lastRenderedPageBreak/>
        <w:t xml:space="preserve">collecting and publishing data </w:t>
      </w:r>
      <w:r w:rsidR="0789E1E8" w:rsidRPr="43B00504">
        <w:rPr>
          <w:rFonts w:ascii="Tahoma" w:hAnsi="Tahoma" w:cs="Tahoma"/>
          <w:sz w:val="28"/>
          <w:szCs w:val="28"/>
        </w:rPr>
        <w:t xml:space="preserve">regularly </w:t>
      </w:r>
      <w:r w:rsidRPr="43B00504">
        <w:rPr>
          <w:rFonts w:ascii="Tahoma" w:hAnsi="Tahoma" w:cs="Tahoma"/>
          <w:sz w:val="28"/>
          <w:szCs w:val="28"/>
        </w:rPr>
        <w:t>on payment processing times as a matter of urgency.</w:t>
      </w:r>
    </w:p>
    <w:p w14:paraId="4FD3BBE3" w14:textId="77777777"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t xml:space="preserve">Fresh reassessment without historical penalty: </w:t>
      </w:r>
      <w:r w:rsidRPr="43B00504">
        <w:rPr>
          <w:rFonts w:ascii="Tahoma" w:hAnsi="Tahoma" w:cs="Tahoma"/>
          <w:sz w:val="28"/>
          <w:szCs w:val="28"/>
        </w:rPr>
        <w:t>Where a role changes and more support is required, Access to Work should make a fresh evaluation based on current need, not penalise employers or employees for having previously covered costs that should have been funded (see paragraph 18). The current approach actively discourages employers from stepping in during funding gaps, because doing so can be used against them at renewal.</w:t>
      </w:r>
    </w:p>
    <w:p w14:paraId="08DBCDC2" w14:textId="77777777"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t xml:space="preserve">Recognition of diverse support worker models: </w:t>
      </w:r>
      <w:r w:rsidRPr="43B00504">
        <w:rPr>
          <w:rFonts w:ascii="Tahoma" w:hAnsi="Tahoma" w:cs="Tahoma"/>
          <w:sz w:val="28"/>
          <w:szCs w:val="28"/>
        </w:rPr>
        <w:t>Access to Work needs to understand that not all support workers are sourced privately or from agencies. Employers may directly employ support workers for good reasons — confidentiality, specialist training requirements, security clearance, and business continuity. The scheme should accommodate these arrangements rather than treating them with suspicion (see paragraph 20).</w:t>
      </w:r>
    </w:p>
    <w:p w14:paraId="73713A3B" w14:textId="071F73E0" w:rsidR="00996196" w:rsidRPr="00DC3A5C" w:rsidRDefault="6C07340A" w:rsidP="43B00504">
      <w:pPr>
        <w:spacing w:after="200" w:line="360" w:lineRule="auto"/>
        <w:rPr>
          <w:rFonts w:ascii="Tahoma" w:hAnsi="Tahoma" w:cs="Tahoma"/>
          <w:sz w:val="28"/>
          <w:szCs w:val="28"/>
        </w:rPr>
      </w:pPr>
      <w:r w:rsidRPr="43B00504">
        <w:rPr>
          <w:rFonts w:ascii="Tahoma" w:hAnsi="Tahoma" w:cs="Tahoma"/>
          <w:b/>
          <w:bCs/>
          <w:sz w:val="28"/>
          <w:szCs w:val="28"/>
        </w:rPr>
        <w:t>A</w:t>
      </w:r>
      <w:r w:rsidR="006009EE" w:rsidRPr="43B00504">
        <w:rPr>
          <w:rFonts w:ascii="Tahoma" w:hAnsi="Tahoma" w:cs="Tahoma"/>
          <w:b/>
          <w:bCs/>
          <w:sz w:val="28"/>
          <w:szCs w:val="28"/>
        </w:rPr>
        <w:t xml:space="preserve"> </w:t>
      </w:r>
      <w:r w:rsidR="145181E7" w:rsidRPr="43B00504">
        <w:rPr>
          <w:rFonts w:ascii="Tahoma" w:hAnsi="Tahoma" w:cs="Tahoma"/>
          <w:b/>
          <w:bCs/>
          <w:sz w:val="28"/>
          <w:szCs w:val="28"/>
        </w:rPr>
        <w:t xml:space="preserve">GB-wide </w:t>
      </w:r>
      <w:r w:rsidR="006009EE" w:rsidRPr="43B00504">
        <w:rPr>
          <w:rFonts w:ascii="Tahoma" w:hAnsi="Tahoma" w:cs="Tahoma"/>
          <w:b/>
          <w:bCs/>
          <w:sz w:val="28"/>
          <w:szCs w:val="28"/>
        </w:rPr>
        <w:t>awareness</w:t>
      </w:r>
      <w:r w:rsidRPr="43B00504">
        <w:rPr>
          <w:rFonts w:ascii="Tahoma" w:hAnsi="Tahoma" w:cs="Tahoma"/>
          <w:b/>
          <w:bCs/>
          <w:sz w:val="28"/>
          <w:szCs w:val="28"/>
        </w:rPr>
        <w:t xml:space="preserve"> campaign</w:t>
      </w:r>
      <w:r w:rsidR="00E07B53" w:rsidRPr="43B00504">
        <w:rPr>
          <w:rFonts w:ascii="Tahoma" w:hAnsi="Tahoma" w:cs="Tahoma"/>
          <w:b/>
          <w:bCs/>
          <w:sz w:val="28"/>
          <w:szCs w:val="28"/>
        </w:rPr>
        <w:t xml:space="preserve"> and specialist support at point of job seeking</w:t>
      </w:r>
      <w:r w:rsidRPr="43B00504">
        <w:rPr>
          <w:rFonts w:ascii="Tahoma" w:hAnsi="Tahoma" w:cs="Tahoma"/>
          <w:b/>
          <w:bCs/>
          <w:sz w:val="28"/>
          <w:szCs w:val="28"/>
        </w:rPr>
        <w:t xml:space="preserve">: </w:t>
      </w:r>
      <w:r w:rsidR="0D493612" w:rsidRPr="43B00504">
        <w:rPr>
          <w:rFonts w:ascii="Tahoma" w:hAnsi="Tahoma" w:cs="Tahoma"/>
          <w:sz w:val="28"/>
          <w:szCs w:val="28"/>
        </w:rPr>
        <w:t xml:space="preserve">The </w:t>
      </w:r>
      <w:r w:rsidRPr="43B00504">
        <w:rPr>
          <w:rFonts w:ascii="Tahoma" w:hAnsi="Tahoma" w:cs="Tahoma"/>
          <w:sz w:val="28"/>
          <w:szCs w:val="28"/>
        </w:rPr>
        <w:t xml:space="preserve">DWP should be actively promoting Access to Work to both employers and disabled people, including through Job Centre Plus offices </w:t>
      </w:r>
      <w:r w:rsidR="1AEAA60D" w:rsidRPr="43B00504">
        <w:rPr>
          <w:rFonts w:ascii="Tahoma" w:hAnsi="Tahoma" w:cs="Tahoma"/>
          <w:sz w:val="28"/>
          <w:szCs w:val="28"/>
        </w:rPr>
        <w:t xml:space="preserve">across Great </w:t>
      </w:r>
      <w:r w:rsidR="1D1AFE0D" w:rsidRPr="43B00504">
        <w:rPr>
          <w:rFonts w:ascii="Tahoma" w:hAnsi="Tahoma" w:cs="Tahoma"/>
          <w:sz w:val="28"/>
          <w:szCs w:val="28"/>
        </w:rPr>
        <w:t xml:space="preserve">Britain </w:t>
      </w:r>
      <w:r w:rsidRPr="43B00504">
        <w:rPr>
          <w:rFonts w:ascii="Tahoma" w:hAnsi="Tahoma" w:cs="Tahoma"/>
          <w:sz w:val="28"/>
          <w:szCs w:val="28"/>
        </w:rPr>
        <w:t>and in partnership with devolved employability services in Scotland. The current lack of awareness means any people who could benefit from the scheme never find out it exists</w:t>
      </w:r>
      <w:r w:rsidR="00E07B53" w:rsidRPr="43B00504">
        <w:rPr>
          <w:rFonts w:ascii="Tahoma" w:hAnsi="Tahoma" w:cs="Tahoma"/>
          <w:sz w:val="28"/>
          <w:szCs w:val="28"/>
        </w:rPr>
        <w:t xml:space="preserve">. </w:t>
      </w:r>
      <w:r w:rsidR="6EBDD968" w:rsidRPr="43B00504">
        <w:rPr>
          <w:rFonts w:ascii="Tahoma" w:hAnsi="Tahoma" w:cs="Tahoma"/>
          <w:sz w:val="28"/>
          <w:szCs w:val="28"/>
        </w:rPr>
        <w:t xml:space="preserve">The </w:t>
      </w:r>
      <w:r w:rsidR="00B16BFC" w:rsidRPr="43B00504">
        <w:rPr>
          <w:rFonts w:ascii="Tahoma" w:hAnsi="Tahoma" w:cs="Tahoma"/>
          <w:sz w:val="28"/>
          <w:szCs w:val="28"/>
        </w:rPr>
        <w:t>DWP should ensure that every Jobcentre Plus office has a dedicated specialist adviser with the knowledge and remit to connect disabled jobseekers directly with Access to Work and other employment support.</w:t>
      </w:r>
      <w:r w:rsidR="00E07B53" w:rsidRPr="43B00504">
        <w:rPr>
          <w:rFonts w:ascii="Tahoma" w:hAnsi="Tahoma" w:cs="Tahoma"/>
          <w:sz w:val="28"/>
          <w:szCs w:val="28"/>
        </w:rPr>
        <w:t xml:space="preserve"> (see paragraphs 23–24).</w:t>
      </w:r>
    </w:p>
    <w:p w14:paraId="59D3D075" w14:textId="20C74055" w:rsidR="00996196" w:rsidRPr="00DC3A5C" w:rsidRDefault="00DA32D3" w:rsidP="43B00504">
      <w:pPr>
        <w:spacing w:after="200" w:line="360" w:lineRule="auto"/>
      </w:pPr>
      <w:r w:rsidRPr="43B00504">
        <w:rPr>
          <w:rFonts w:ascii="Tahoma" w:hAnsi="Tahoma" w:cs="Tahoma"/>
          <w:b/>
          <w:bCs/>
          <w:sz w:val="28"/>
          <w:szCs w:val="28"/>
        </w:rPr>
        <w:lastRenderedPageBreak/>
        <w:t xml:space="preserve">An online hub for </w:t>
      </w:r>
      <w:r w:rsidR="000D4AF0" w:rsidRPr="43B00504">
        <w:rPr>
          <w:rFonts w:ascii="Tahoma" w:hAnsi="Tahoma" w:cs="Tahoma"/>
          <w:b/>
          <w:bCs/>
          <w:sz w:val="28"/>
          <w:szCs w:val="28"/>
        </w:rPr>
        <w:t>award</w:t>
      </w:r>
      <w:r w:rsidRPr="43B00504">
        <w:rPr>
          <w:rFonts w:ascii="Tahoma" w:hAnsi="Tahoma" w:cs="Tahoma"/>
          <w:b/>
          <w:bCs/>
          <w:sz w:val="28"/>
          <w:szCs w:val="28"/>
        </w:rPr>
        <w:t xml:space="preserve"> </w:t>
      </w:r>
      <w:r w:rsidRPr="43B00504">
        <w:rPr>
          <w:rFonts w:ascii="Tahoma" w:hAnsi="Tahoma" w:cs="Tahoma"/>
          <w:sz w:val="28"/>
          <w:szCs w:val="28"/>
        </w:rPr>
        <w:t>A secure online portal where employers and employees with grants can track claims, access grant letters, communicate with their named advisor, submit forms, attach invoices, and update their information. This would reduce the administrative burden on both applicants and case managers, and</w:t>
      </w:r>
      <w:r w:rsidRPr="00DC3A5C">
        <w:rPr>
          <w:rStyle w:val="FootnoteReference"/>
          <w:rFonts w:ascii="Tahoma" w:hAnsi="Tahoma" w:cs="Tahoma"/>
          <w:sz w:val="28"/>
          <w:szCs w:val="28"/>
        </w:rPr>
        <w:footnoteReference w:id="8"/>
      </w:r>
      <w:r w:rsidRPr="43B00504">
        <w:rPr>
          <w:rFonts w:ascii="Tahoma" w:hAnsi="Tahoma" w:cs="Tahoma"/>
          <w:sz w:val="28"/>
          <w:szCs w:val="28"/>
        </w:rPr>
        <w:t xml:space="preserve"> </w:t>
      </w:r>
      <w:proofErr w:type="gramStart"/>
      <w:r w:rsidRPr="43B00504">
        <w:rPr>
          <w:rFonts w:ascii="Tahoma" w:hAnsi="Tahoma" w:cs="Tahoma"/>
          <w:sz w:val="28"/>
          <w:szCs w:val="28"/>
        </w:rPr>
        <w:t>identified.</w:t>
      </w:r>
      <w:r w:rsidRPr="43B00504">
        <w:t>￼</w:t>
      </w:r>
      <w:proofErr w:type="gramEnd"/>
      <w:r w:rsidRPr="6965113C">
        <w:rPr>
          <w:rStyle w:val="FootnoteReference"/>
          <w:rFonts w:ascii="Tahoma" w:hAnsi="Tahoma" w:cs="Tahoma"/>
          <w:sz w:val="28"/>
          <w:szCs w:val="28"/>
        </w:rPr>
        <w:footnoteReference w:id="9"/>
      </w:r>
    </w:p>
    <w:p w14:paraId="248DC8CB" w14:textId="114F5036" w:rsidR="2688F59A" w:rsidRDefault="408AE2DA" w:rsidP="43B00504">
      <w:pPr>
        <w:spacing w:after="200" w:line="360" w:lineRule="auto"/>
        <w:rPr>
          <w:rFonts w:ascii="Tahoma" w:hAnsi="Tahoma" w:cs="Tahoma"/>
          <w:sz w:val="28"/>
          <w:szCs w:val="28"/>
        </w:rPr>
      </w:pPr>
      <w:r w:rsidRPr="43B00504">
        <w:rPr>
          <w:rFonts w:ascii="Tahoma" w:hAnsi="Tahoma" w:cs="Tahoma"/>
          <w:sz w:val="28"/>
          <w:szCs w:val="28"/>
        </w:rPr>
        <w:t xml:space="preserve">The recommendations outlined above would deal with some of the most problematic elements of the current </w:t>
      </w:r>
      <w:r w:rsidR="45F12C70" w:rsidRPr="43B00504">
        <w:rPr>
          <w:rFonts w:ascii="Tahoma" w:hAnsi="Tahoma" w:cs="Tahoma"/>
          <w:sz w:val="28"/>
          <w:szCs w:val="28"/>
        </w:rPr>
        <w:t>system. However, the fundamental flaw in the system is that is fai</w:t>
      </w:r>
      <w:r w:rsidR="72209A1F" w:rsidRPr="43B00504">
        <w:rPr>
          <w:rFonts w:ascii="Tahoma" w:hAnsi="Tahoma" w:cs="Tahoma"/>
          <w:sz w:val="28"/>
          <w:szCs w:val="28"/>
        </w:rPr>
        <w:t xml:space="preserve">ls to recognise the role of the employer in identifying and assessing need. </w:t>
      </w:r>
      <w:r w:rsidR="45F12C70" w:rsidRPr="43B00504">
        <w:rPr>
          <w:rFonts w:ascii="Tahoma" w:hAnsi="Tahoma" w:cs="Tahoma"/>
          <w:sz w:val="28"/>
          <w:szCs w:val="28"/>
        </w:rPr>
        <w:t xml:space="preserve">The current system is designed around the </w:t>
      </w:r>
      <w:r w:rsidR="72ED5991" w:rsidRPr="43B00504">
        <w:rPr>
          <w:rFonts w:ascii="Tahoma" w:hAnsi="Tahoma" w:cs="Tahoma"/>
          <w:sz w:val="28"/>
          <w:szCs w:val="28"/>
        </w:rPr>
        <w:t>employee</w:t>
      </w:r>
      <w:r w:rsidR="45F12C70" w:rsidRPr="43B00504">
        <w:rPr>
          <w:rFonts w:ascii="Tahoma" w:hAnsi="Tahoma" w:cs="Tahoma"/>
          <w:sz w:val="28"/>
          <w:szCs w:val="28"/>
        </w:rPr>
        <w:t xml:space="preserve"> </w:t>
      </w:r>
      <w:r w:rsidR="7BDA9C6C" w:rsidRPr="43B00504">
        <w:rPr>
          <w:rFonts w:ascii="Tahoma" w:hAnsi="Tahoma" w:cs="Tahoma"/>
          <w:sz w:val="28"/>
          <w:szCs w:val="28"/>
        </w:rPr>
        <w:t>making an</w:t>
      </w:r>
      <w:r w:rsidR="45F12C70" w:rsidRPr="43B00504">
        <w:rPr>
          <w:rFonts w:ascii="Tahoma" w:hAnsi="Tahoma" w:cs="Tahoma"/>
          <w:sz w:val="28"/>
          <w:szCs w:val="28"/>
        </w:rPr>
        <w:t xml:space="preserve"> applic</w:t>
      </w:r>
      <w:r w:rsidR="408584D6" w:rsidRPr="43B00504">
        <w:rPr>
          <w:rFonts w:ascii="Tahoma" w:hAnsi="Tahoma" w:cs="Tahoma"/>
          <w:sz w:val="28"/>
          <w:szCs w:val="28"/>
        </w:rPr>
        <w:t>ation</w:t>
      </w:r>
      <w:r w:rsidR="2BF500AB" w:rsidRPr="43B00504">
        <w:rPr>
          <w:rFonts w:ascii="Tahoma" w:hAnsi="Tahoma" w:cs="Tahoma"/>
          <w:sz w:val="28"/>
          <w:szCs w:val="28"/>
        </w:rPr>
        <w:t xml:space="preserve"> for support</w:t>
      </w:r>
      <w:r w:rsidR="45F12C70" w:rsidRPr="43B00504">
        <w:rPr>
          <w:rFonts w:ascii="Tahoma" w:hAnsi="Tahoma" w:cs="Tahoma"/>
          <w:sz w:val="28"/>
          <w:szCs w:val="28"/>
        </w:rPr>
        <w:t xml:space="preserve">, yet for supported employment </w:t>
      </w:r>
      <w:proofErr w:type="spellStart"/>
      <w:r w:rsidR="45F12C70" w:rsidRPr="43B00504">
        <w:rPr>
          <w:rFonts w:ascii="Tahoma" w:hAnsi="Tahoma" w:cs="Tahoma"/>
          <w:sz w:val="28"/>
          <w:szCs w:val="28"/>
        </w:rPr>
        <w:t>roles</w:t>
      </w:r>
      <w:proofErr w:type="spellEnd"/>
      <w:r w:rsidR="45F12C70" w:rsidRPr="43B00504">
        <w:rPr>
          <w:rFonts w:ascii="Tahoma" w:hAnsi="Tahoma" w:cs="Tahoma"/>
          <w:sz w:val="28"/>
          <w:szCs w:val="28"/>
        </w:rPr>
        <w:t xml:space="preserve">, the employer is often the party best placed to articulate the support needed, the operational costs involved, and the nature of the support worker role. The applicant-led model </w:t>
      </w:r>
      <w:r w:rsidR="5E089DCA" w:rsidRPr="43B00504">
        <w:rPr>
          <w:rFonts w:ascii="Tahoma" w:hAnsi="Tahoma" w:cs="Tahoma"/>
          <w:sz w:val="28"/>
          <w:szCs w:val="28"/>
        </w:rPr>
        <w:t xml:space="preserve">can in certain circumstances </w:t>
      </w:r>
      <w:r w:rsidR="45F12C70" w:rsidRPr="43B00504">
        <w:rPr>
          <w:rFonts w:ascii="Tahoma" w:hAnsi="Tahoma" w:cs="Tahoma"/>
          <w:sz w:val="28"/>
          <w:szCs w:val="28"/>
        </w:rPr>
        <w:t xml:space="preserve">create real problems that the NAO’s analysis does not fully capture. </w:t>
      </w:r>
      <w:r w:rsidR="08C7CE91" w:rsidRPr="43B00504">
        <w:rPr>
          <w:rFonts w:ascii="Tahoma" w:hAnsi="Tahoma" w:cs="Tahoma"/>
          <w:sz w:val="28"/>
          <w:szCs w:val="28"/>
        </w:rPr>
        <w:t>Some of t</w:t>
      </w:r>
      <w:r w:rsidR="547A1510" w:rsidRPr="43B00504">
        <w:rPr>
          <w:rFonts w:ascii="Tahoma" w:hAnsi="Tahoma" w:cs="Tahoma"/>
          <w:sz w:val="28"/>
          <w:szCs w:val="28"/>
        </w:rPr>
        <w:t>h</w:t>
      </w:r>
      <w:r w:rsidR="47A2598C" w:rsidRPr="43B00504">
        <w:rPr>
          <w:rFonts w:ascii="Tahoma" w:hAnsi="Tahoma" w:cs="Tahoma"/>
          <w:sz w:val="28"/>
          <w:szCs w:val="28"/>
        </w:rPr>
        <w:t>e fundamentals of the system</w:t>
      </w:r>
      <w:r w:rsidR="547A1510" w:rsidRPr="43B00504">
        <w:rPr>
          <w:rFonts w:ascii="Tahoma" w:hAnsi="Tahoma" w:cs="Tahoma"/>
          <w:sz w:val="28"/>
          <w:szCs w:val="28"/>
        </w:rPr>
        <w:t xml:space="preserve"> need to be reviewed</w:t>
      </w:r>
      <w:r w:rsidR="416BEF3F" w:rsidRPr="43B00504">
        <w:rPr>
          <w:rFonts w:ascii="Tahoma" w:hAnsi="Tahoma" w:cs="Tahoma"/>
          <w:sz w:val="28"/>
          <w:szCs w:val="28"/>
        </w:rPr>
        <w:t>, especially for supported employment</w:t>
      </w:r>
      <w:r w:rsidR="547A1510" w:rsidRPr="43B00504">
        <w:rPr>
          <w:rFonts w:ascii="Tahoma" w:hAnsi="Tahoma" w:cs="Tahoma"/>
          <w:sz w:val="28"/>
          <w:szCs w:val="28"/>
        </w:rPr>
        <w:t>, if</w:t>
      </w:r>
      <w:r w:rsidR="35E960D9" w:rsidRPr="43B00504">
        <w:rPr>
          <w:rFonts w:ascii="Tahoma" w:hAnsi="Tahoma" w:cs="Tahoma"/>
          <w:sz w:val="28"/>
          <w:szCs w:val="28"/>
        </w:rPr>
        <w:t xml:space="preserve"> it is to </w:t>
      </w:r>
      <w:r w:rsidR="05068CC4" w:rsidRPr="43B00504">
        <w:rPr>
          <w:rFonts w:ascii="Tahoma" w:hAnsi="Tahoma" w:cs="Tahoma"/>
          <w:sz w:val="28"/>
          <w:szCs w:val="28"/>
        </w:rPr>
        <w:t>achieve</w:t>
      </w:r>
      <w:r w:rsidR="35E960D9" w:rsidRPr="43B00504">
        <w:rPr>
          <w:rFonts w:ascii="Tahoma" w:hAnsi="Tahoma" w:cs="Tahoma"/>
          <w:sz w:val="28"/>
          <w:szCs w:val="28"/>
        </w:rPr>
        <w:t xml:space="preserve"> its goal of </w:t>
      </w:r>
      <w:r w:rsidR="648E3CA3" w:rsidRPr="43B00504">
        <w:rPr>
          <w:rFonts w:ascii="Tahoma" w:hAnsi="Tahoma" w:cs="Tahoma"/>
          <w:sz w:val="28"/>
          <w:szCs w:val="28"/>
        </w:rPr>
        <w:t>providing</w:t>
      </w:r>
      <w:r w:rsidR="35E960D9" w:rsidRPr="43B00504">
        <w:rPr>
          <w:rFonts w:ascii="Tahoma" w:hAnsi="Tahoma" w:cs="Tahoma"/>
          <w:sz w:val="28"/>
          <w:szCs w:val="28"/>
        </w:rPr>
        <w:t xml:space="preserve"> the support </w:t>
      </w:r>
      <w:r w:rsidR="35813DB0" w:rsidRPr="43B00504">
        <w:rPr>
          <w:rFonts w:ascii="Tahoma" w:hAnsi="Tahoma" w:cs="Tahoma"/>
          <w:sz w:val="28"/>
          <w:szCs w:val="28"/>
        </w:rPr>
        <w:t xml:space="preserve">in employment </w:t>
      </w:r>
      <w:r w:rsidR="35E960D9" w:rsidRPr="43B00504">
        <w:rPr>
          <w:rFonts w:ascii="Tahoma" w:hAnsi="Tahoma" w:cs="Tahoma"/>
          <w:sz w:val="28"/>
          <w:szCs w:val="28"/>
        </w:rPr>
        <w:t>ev</w:t>
      </w:r>
      <w:r w:rsidR="02D098AD" w:rsidRPr="43B00504">
        <w:rPr>
          <w:rFonts w:ascii="Tahoma" w:hAnsi="Tahoma" w:cs="Tahoma"/>
          <w:sz w:val="28"/>
          <w:szCs w:val="28"/>
        </w:rPr>
        <w:t xml:space="preserve">ery </w:t>
      </w:r>
      <w:r w:rsidR="790AC3B3" w:rsidRPr="43B00504">
        <w:rPr>
          <w:rFonts w:ascii="Tahoma" w:hAnsi="Tahoma" w:cs="Tahoma"/>
          <w:sz w:val="28"/>
          <w:szCs w:val="28"/>
        </w:rPr>
        <w:t>disabled</w:t>
      </w:r>
      <w:r w:rsidR="02D098AD" w:rsidRPr="43B00504">
        <w:rPr>
          <w:rFonts w:ascii="Tahoma" w:hAnsi="Tahoma" w:cs="Tahoma"/>
          <w:sz w:val="28"/>
          <w:szCs w:val="28"/>
        </w:rPr>
        <w:t xml:space="preserve"> person </w:t>
      </w:r>
      <w:r w:rsidR="56820237" w:rsidRPr="43B00504">
        <w:rPr>
          <w:rFonts w:ascii="Tahoma" w:hAnsi="Tahoma" w:cs="Tahoma"/>
          <w:sz w:val="28"/>
          <w:szCs w:val="28"/>
        </w:rPr>
        <w:t xml:space="preserve">should have </w:t>
      </w:r>
      <w:r w:rsidR="02D098AD" w:rsidRPr="43B00504">
        <w:rPr>
          <w:rFonts w:ascii="Tahoma" w:hAnsi="Tahoma" w:cs="Tahoma"/>
          <w:sz w:val="28"/>
          <w:szCs w:val="28"/>
        </w:rPr>
        <w:t>a right to</w:t>
      </w:r>
      <w:r w:rsidR="2688F59A" w:rsidRPr="43B00504">
        <w:rPr>
          <w:rFonts w:ascii="Tahoma" w:hAnsi="Tahoma" w:cs="Tahoma"/>
          <w:sz w:val="28"/>
          <w:szCs w:val="28"/>
        </w:rPr>
        <w:t>, as set out in Article 27 on Convention on the Rights of Persons with Disabilities.</w:t>
      </w:r>
    </w:p>
    <w:p w14:paraId="2DF10F6B"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The Impact of Processing Delays and Administrative Errors</w:t>
      </w:r>
    </w:p>
    <w:p w14:paraId="13E93977" w14:textId="28CD0C02" w:rsidR="00996196" w:rsidRPr="00DC3A5C" w:rsidRDefault="009B4853" w:rsidP="43B00504">
      <w:pPr>
        <w:spacing w:after="200" w:line="360" w:lineRule="auto"/>
        <w:rPr>
          <w:rFonts w:ascii="Tahoma" w:hAnsi="Tahoma" w:cs="Tahoma"/>
          <w:sz w:val="28"/>
          <w:szCs w:val="28"/>
        </w:rPr>
      </w:pPr>
      <w:r w:rsidRPr="43B00504">
        <w:rPr>
          <w:rFonts w:ascii="Tahoma" w:hAnsi="Tahoma" w:cs="Tahoma"/>
          <w:sz w:val="28"/>
          <w:szCs w:val="28"/>
        </w:rPr>
        <w:t>10</w:t>
      </w:r>
      <w:r w:rsidR="004A047F" w:rsidRPr="43B00504">
        <w:rPr>
          <w:rFonts w:ascii="Tahoma" w:hAnsi="Tahoma" w:cs="Tahoma"/>
          <w:sz w:val="28"/>
          <w:szCs w:val="28"/>
        </w:rPr>
        <w:t>.</w:t>
      </w:r>
      <w:r w:rsidRPr="43B00504">
        <w:rPr>
          <w:rFonts w:ascii="Tahoma" w:hAnsi="Tahoma" w:cs="Tahoma"/>
          <w:sz w:val="28"/>
          <w:szCs w:val="28"/>
        </w:rPr>
        <w:t xml:space="preserve"> </w:t>
      </w:r>
      <w:r w:rsidR="004A047F" w:rsidRPr="43B00504">
        <w:rPr>
          <w:rFonts w:ascii="Tahoma" w:hAnsi="Tahoma" w:cs="Tahoma"/>
          <w:sz w:val="28"/>
          <w:szCs w:val="28"/>
        </w:rPr>
        <w:t>T</w:t>
      </w:r>
      <w:r w:rsidRPr="43B00504">
        <w:rPr>
          <w:rFonts w:ascii="Tahoma" w:hAnsi="Tahoma" w:cs="Tahoma"/>
          <w:sz w:val="28"/>
          <w:szCs w:val="28"/>
        </w:rPr>
        <w:t>he NAO’s finding that average processing times reached 109 working days in November 2025</w:t>
      </w:r>
      <w:r w:rsidRPr="43B00504">
        <w:rPr>
          <w:rStyle w:val="FootnoteReference"/>
          <w:rFonts w:ascii="Tahoma" w:hAnsi="Tahoma" w:cs="Tahoma"/>
          <w:sz w:val="28"/>
          <w:szCs w:val="28"/>
        </w:rPr>
        <w:footnoteReference w:id="10"/>
      </w:r>
      <w:r w:rsidRPr="43B00504">
        <w:rPr>
          <w:rFonts w:ascii="Tahoma" w:hAnsi="Tahoma" w:cs="Tahoma"/>
          <w:sz w:val="28"/>
          <w:szCs w:val="28"/>
        </w:rPr>
        <w:t xml:space="preserve"> reflects our own experience. We have supported employees through applications that took over five months to </w:t>
      </w:r>
      <w:r w:rsidRPr="43B00504">
        <w:rPr>
          <w:rFonts w:ascii="Tahoma" w:hAnsi="Tahoma" w:cs="Tahoma"/>
          <w:sz w:val="28"/>
          <w:szCs w:val="28"/>
        </w:rPr>
        <w:lastRenderedPageBreak/>
        <w:t>process, during which time the financial burden fell entirely on the individual and on us as the employer. In one case, an employee with a vision impairment required a support worker and help with travel to work. They began the application process three weeks before their employment start date — a reasonable lead time — yet it took over five months and four separate advisors before grants were finally issued.</w:t>
      </w:r>
    </w:p>
    <w:p w14:paraId="754E498B" w14:textId="3178B402"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11. What happened during those five months is illustrative of the systemic problems the NAO has identified. The initial online application was deleted by an Access to Work advisor without any contact with the applicant. When the employee called to follow up, they were told the reference number provided on submission was “useless” and could not be used to track the application. A replacement application was then passed between four different advisors, each of whom required the employee to re-explain their circumstances and resubmit documentation. The ‘Record of Tasks’ form was submitted three times to three different advisors over a period of nearly three months.</w:t>
      </w:r>
    </w:p>
    <w:p w14:paraId="576845FE" w14:textId="19405738"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12. During this time, the employee covered taxi costs of £1,298 from their own funds, and we as the employer covered support worker costs of £3,928.70. These are not trivial sums. For the employee, this created genuine financial hardship. For us as a charity employer, these were unbudgeted costs that had to be absorbed. It was only the determination of the employee and our commitment as a supported employer that prevented this situation from resulting in the loss of the job entirely.</w:t>
      </w:r>
    </w:p>
    <w:p w14:paraId="5651FBB6" w14:textId="5D49B342"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 xml:space="preserve">13.The employee’s own words capture the impact powerfully. They told us that despite the arduous process, supported employment allowed </w:t>
      </w:r>
      <w:r w:rsidRPr="43B00504">
        <w:rPr>
          <w:rFonts w:ascii="Tahoma" w:hAnsi="Tahoma" w:cs="Tahoma"/>
          <w:sz w:val="28"/>
          <w:szCs w:val="28"/>
        </w:rPr>
        <w:lastRenderedPageBreak/>
        <w:t>them to be employed in a job they both enjoyed and which made them feel a more productive member of society. However, they were left extremely concerned for those new to the system. They feared losing their job and experienced extreme periods of stress. They were clear that with another employer, they might well have lost their job.</w:t>
      </w:r>
    </w:p>
    <w:p w14:paraId="2232582D" w14:textId="239EE74A"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 xml:space="preserve">14. This experience also had a lasting effect on the employee’s confidence in the scheme. Even after the travel to work grant was agreed, they chose not to set up a direct payment arrangement between Access to Work and their taxi company, because they no longer trusted that invoices would be handled accurately or promptly. Instead, they continued paying from their own account and claiming reimbursement — which left them in a temporarily vulnerable financial position each month. The NAO’s finding that DWP does not even collect data on payment processing times makes this </w:t>
      </w:r>
      <w:proofErr w:type="gramStart"/>
      <w:r w:rsidRPr="43B00504">
        <w:rPr>
          <w:rFonts w:ascii="Tahoma" w:hAnsi="Tahoma" w:cs="Tahoma"/>
          <w:sz w:val="28"/>
          <w:szCs w:val="28"/>
        </w:rPr>
        <w:t>all the more</w:t>
      </w:r>
      <w:proofErr w:type="gramEnd"/>
      <w:r w:rsidRPr="43B00504">
        <w:rPr>
          <w:rFonts w:ascii="Tahoma" w:hAnsi="Tahoma" w:cs="Tahoma"/>
          <w:sz w:val="28"/>
          <w:szCs w:val="28"/>
        </w:rPr>
        <w:t xml:space="preserve"> concerning.</w:t>
      </w:r>
      <w:r w:rsidRPr="43B00504">
        <w:rPr>
          <w:rStyle w:val="FootnoteReference"/>
          <w:rFonts w:ascii="Tahoma" w:hAnsi="Tahoma" w:cs="Tahoma"/>
          <w:sz w:val="28"/>
          <w:szCs w:val="28"/>
        </w:rPr>
        <w:footnoteReference w:id="11"/>
      </w:r>
    </w:p>
    <w:p w14:paraId="006D6EC6" w14:textId="6E7BE13B"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1</w:t>
      </w:r>
      <w:r w:rsidR="00A31858" w:rsidRPr="43B00504">
        <w:rPr>
          <w:rFonts w:ascii="Tahoma" w:hAnsi="Tahoma" w:cs="Tahoma"/>
          <w:sz w:val="28"/>
          <w:szCs w:val="28"/>
        </w:rPr>
        <w:t xml:space="preserve">5. </w:t>
      </w:r>
      <w:r w:rsidRPr="43B00504">
        <w:rPr>
          <w:rFonts w:ascii="Tahoma" w:hAnsi="Tahoma" w:cs="Tahoma"/>
          <w:sz w:val="28"/>
          <w:szCs w:val="28"/>
        </w:rPr>
        <w:t>We note with concern the NAO’s observation that DWP’s data systems are inefficient, with case managers manually transferring information between systems and maintaining management information on separate spreadsheets.</w:t>
      </w:r>
      <w:r w:rsidRPr="43B00504">
        <w:rPr>
          <w:rStyle w:val="FootnoteReference"/>
          <w:rFonts w:ascii="Tahoma" w:hAnsi="Tahoma" w:cs="Tahoma"/>
          <w:sz w:val="28"/>
          <w:szCs w:val="28"/>
        </w:rPr>
        <w:footnoteReference w:id="12"/>
      </w:r>
      <w:r w:rsidRPr="43B00504">
        <w:rPr>
          <w:rFonts w:ascii="Tahoma" w:hAnsi="Tahoma" w:cs="Tahoma"/>
          <w:sz w:val="28"/>
          <w:szCs w:val="28"/>
        </w:rPr>
        <w:t xml:space="preserve"> This mirrors our experience: without our own </w:t>
      </w:r>
      <w:r w:rsidR="19F6698B" w:rsidRPr="43B00504">
        <w:rPr>
          <w:rFonts w:ascii="Tahoma" w:hAnsi="Tahoma" w:cs="Tahoma"/>
          <w:sz w:val="28"/>
          <w:szCs w:val="28"/>
        </w:rPr>
        <w:t>organisation</w:t>
      </w:r>
      <w:r w:rsidRPr="43B00504">
        <w:rPr>
          <w:rFonts w:ascii="Tahoma" w:hAnsi="Tahoma" w:cs="Tahoma"/>
          <w:sz w:val="28"/>
          <w:szCs w:val="28"/>
        </w:rPr>
        <w:t xml:space="preserve"> keeping a detailed spreadsheet of all communications with Access to Work, our employee would have found it almost impossible to navigate the complexity of their application.</w:t>
      </w:r>
    </w:p>
    <w:p w14:paraId="013F4CCB"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The Failure of the Applicant-Led Model for Supported Employment</w:t>
      </w:r>
    </w:p>
    <w:p w14:paraId="7471B753" w14:textId="188FCA3A"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lastRenderedPageBreak/>
        <w:t>16.The NAO report identifies DWP’s concerns about inconsistent decision-making and the broadly interpreted definitions of support workers.</w:t>
      </w:r>
      <w:r w:rsidRPr="43B00504">
        <w:rPr>
          <w:rStyle w:val="FootnoteReference"/>
          <w:rFonts w:ascii="Tahoma" w:hAnsi="Tahoma" w:cs="Tahoma"/>
          <w:sz w:val="28"/>
          <w:szCs w:val="28"/>
        </w:rPr>
        <w:footnoteReference w:id="13"/>
      </w:r>
      <w:r w:rsidRPr="43B00504">
        <w:rPr>
          <w:rFonts w:ascii="Tahoma" w:hAnsi="Tahoma" w:cs="Tahoma"/>
          <w:sz w:val="28"/>
          <w:szCs w:val="28"/>
        </w:rPr>
        <w:t xml:space="preserve"> We share some of these concerns, but from a fundamentally different perspective. The current system is designed around the individual applicant, yet for supported employment </w:t>
      </w:r>
      <w:proofErr w:type="spellStart"/>
      <w:r w:rsidRPr="43B00504">
        <w:rPr>
          <w:rFonts w:ascii="Tahoma" w:hAnsi="Tahoma" w:cs="Tahoma"/>
          <w:sz w:val="28"/>
          <w:szCs w:val="28"/>
        </w:rPr>
        <w:t>roles</w:t>
      </w:r>
      <w:proofErr w:type="spellEnd"/>
      <w:r w:rsidRPr="43B00504">
        <w:rPr>
          <w:rFonts w:ascii="Tahoma" w:hAnsi="Tahoma" w:cs="Tahoma"/>
          <w:sz w:val="28"/>
          <w:szCs w:val="28"/>
        </w:rPr>
        <w:t>, the employer is often the party best placed to articulate the support needed, the operational costs involved, and the nature of the support worker role. The applicant-led model creates real problems that the NAO’s analysis does not fully capture.</w:t>
      </w:r>
    </w:p>
    <w:p w14:paraId="4992DD9A" w14:textId="70761097" w:rsidR="00996196" w:rsidRPr="00DC3A5C" w:rsidRDefault="004A047F" w:rsidP="43B00504">
      <w:pPr>
        <w:spacing w:after="200" w:line="360" w:lineRule="auto"/>
        <w:rPr>
          <w:rFonts w:ascii="Tahoma" w:hAnsi="Tahoma" w:cs="Tahoma"/>
          <w:sz w:val="28"/>
          <w:szCs w:val="28"/>
        </w:rPr>
      </w:pPr>
      <w:r w:rsidRPr="43B00504">
        <w:rPr>
          <w:rFonts w:ascii="Tahoma" w:hAnsi="Tahoma" w:cs="Tahoma"/>
          <w:sz w:val="28"/>
          <w:szCs w:val="28"/>
        </w:rPr>
        <w:t xml:space="preserve">17. We have direct experience of an employee who </w:t>
      </w:r>
      <w:proofErr w:type="gramStart"/>
      <w:r w:rsidRPr="43B00504">
        <w:rPr>
          <w:rFonts w:ascii="Tahoma" w:hAnsi="Tahoma" w:cs="Tahoma"/>
          <w:sz w:val="28"/>
          <w:szCs w:val="28"/>
        </w:rPr>
        <w:t>was not able to</w:t>
      </w:r>
      <w:proofErr w:type="gramEnd"/>
      <w:r w:rsidRPr="43B00504">
        <w:rPr>
          <w:rFonts w:ascii="Tahoma" w:hAnsi="Tahoma" w:cs="Tahoma"/>
          <w:sz w:val="28"/>
          <w:szCs w:val="28"/>
        </w:rPr>
        <w:t xml:space="preserve"> communicate accurately to their Access to Work advisor, or to complete the ‘Record of Tasks’ form in a way that reflected the actual requirements of their role. This is not a criticism of the individual — for someone new to a role, it is genuinely difficult to know what level of support they will need. The result was that only 20 per cent of their weekly hours were funded (4.5 hours of a 21-hour week), when </w:t>
      </w:r>
      <w:proofErr w:type="gramStart"/>
      <w:r w:rsidRPr="43B00504">
        <w:rPr>
          <w:rFonts w:ascii="Tahoma" w:hAnsi="Tahoma" w:cs="Tahoma"/>
          <w:sz w:val="28"/>
          <w:szCs w:val="28"/>
        </w:rPr>
        <w:t>in reality a</w:t>
      </w:r>
      <w:proofErr w:type="gramEnd"/>
      <w:r w:rsidRPr="43B00504">
        <w:rPr>
          <w:rFonts w:ascii="Tahoma" w:hAnsi="Tahoma" w:cs="Tahoma"/>
          <w:sz w:val="28"/>
          <w:szCs w:val="28"/>
        </w:rPr>
        <w:t xml:space="preserve"> support worker was required for 20 of those 21 hours. We as the employer were left covering 80 per cent of the support worker costs — effectively paying for an additional person.</w:t>
      </w:r>
    </w:p>
    <w:p w14:paraId="224C4493" w14:textId="0BECC44E" w:rsidR="00996196" w:rsidRPr="00DC3A5C" w:rsidRDefault="00D03D7E" w:rsidP="43B00504">
      <w:pPr>
        <w:spacing w:after="200" w:line="360" w:lineRule="auto"/>
        <w:rPr>
          <w:rFonts w:ascii="Tahoma" w:hAnsi="Tahoma" w:cs="Tahoma"/>
          <w:sz w:val="28"/>
          <w:szCs w:val="28"/>
        </w:rPr>
      </w:pPr>
      <w:r w:rsidRPr="43B00504">
        <w:rPr>
          <w:rFonts w:ascii="Tahoma" w:hAnsi="Tahoma" w:cs="Tahoma"/>
          <w:sz w:val="28"/>
          <w:szCs w:val="28"/>
        </w:rPr>
        <w:t xml:space="preserve">18. When this employee’s role subsequently changed, requiring more support, we contacted Access to Work to request a reassessment. A Record of Tasks form was completed demonstrating the increased need. However, the reassessment was rejected on the grounds that we as the employer had “historically covered the cost of a Job Aide” and should therefore continue covering additional costs. This is a perverse outcome: </w:t>
      </w:r>
      <w:r w:rsidRPr="43B00504">
        <w:rPr>
          <w:rFonts w:ascii="Tahoma" w:hAnsi="Tahoma" w:cs="Tahoma"/>
          <w:sz w:val="28"/>
          <w:szCs w:val="28"/>
        </w:rPr>
        <w:lastRenderedPageBreak/>
        <w:t xml:space="preserve">it penalises employers who have stepped in to fill funding gaps and makes roles progressively less viable over time. In terms of escalating operational cost, decisions like this could lead to supported employment </w:t>
      </w:r>
      <w:proofErr w:type="spellStart"/>
      <w:r w:rsidRPr="43B00504">
        <w:rPr>
          <w:rFonts w:ascii="Tahoma" w:hAnsi="Tahoma" w:cs="Tahoma"/>
          <w:sz w:val="28"/>
          <w:szCs w:val="28"/>
        </w:rPr>
        <w:t>roles</w:t>
      </w:r>
      <w:proofErr w:type="spellEnd"/>
      <w:r w:rsidRPr="43B00504">
        <w:rPr>
          <w:rFonts w:ascii="Tahoma" w:hAnsi="Tahoma" w:cs="Tahoma"/>
          <w:sz w:val="28"/>
          <w:szCs w:val="28"/>
        </w:rPr>
        <w:t xml:space="preserve"> being assessed as operationally unviable.</w:t>
      </w:r>
    </w:p>
    <w:p w14:paraId="62EF76E5" w14:textId="4E69C95F" w:rsidR="00996196" w:rsidRPr="00DC3A5C" w:rsidRDefault="00D03D7E" w:rsidP="43B00504">
      <w:pPr>
        <w:spacing w:after="200" w:line="360" w:lineRule="auto"/>
        <w:rPr>
          <w:rFonts w:ascii="Tahoma" w:hAnsi="Tahoma" w:cs="Tahoma"/>
          <w:sz w:val="28"/>
          <w:szCs w:val="28"/>
        </w:rPr>
      </w:pPr>
      <w:r w:rsidRPr="43B00504">
        <w:rPr>
          <w:rFonts w:ascii="Tahoma" w:hAnsi="Tahoma" w:cs="Tahoma"/>
          <w:sz w:val="28"/>
          <w:szCs w:val="28"/>
        </w:rPr>
        <w:t>19. We have also experienced situations where an employee was resistant to applying for Access to Work support for personal reasons. This included finding it hard to accept they needed support, negative associations with claiming benefits, and difficulty understanding why the hourly quote for a support worker included operational costs beyond just the salary. Because it is the employee who makes the application and subsequent claims, when this employee decided to claim for only half the amount they had been awarded, we were left with the choice of covering the remaining support worker costs, reducing the hours of the role (which was not operationally possible), or terminating the employment. As a supported employer committed to our values, we absorbed the costs — but this made the role significantly less viable.</w:t>
      </w:r>
    </w:p>
    <w:p w14:paraId="17B11193" w14:textId="4450C469"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20. The NAO’s finding that a DWP-commissioned consultant review found 40 per cent of scheme-funded support should have been provided by the employer, the employee or the NHS is noteworthy.</w:t>
      </w:r>
      <w:r w:rsidRPr="43B00504">
        <w:rPr>
          <w:rStyle w:val="FootnoteReference"/>
          <w:rFonts w:ascii="Tahoma" w:hAnsi="Tahoma" w:cs="Tahoma"/>
          <w:sz w:val="28"/>
          <w:szCs w:val="28"/>
        </w:rPr>
        <w:footnoteReference w:id="14"/>
      </w:r>
      <w:r w:rsidRPr="43B00504">
        <w:rPr>
          <w:rFonts w:ascii="Tahoma" w:hAnsi="Tahoma" w:cs="Tahoma"/>
          <w:sz w:val="28"/>
          <w:szCs w:val="28"/>
        </w:rPr>
        <w:t xml:space="preserve"> However, we would urge the Committee to approach this finding with caution. For supported employers like </w:t>
      </w:r>
      <w:proofErr w:type="gramStart"/>
      <w:r w:rsidRPr="43B00504">
        <w:rPr>
          <w:rFonts w:ascii="Tahoma" w:hAnsi="Tahoma" w:cs="Tahoma"/>
          <w:sz w:val="28"/>
          <w:szCs w:val="28"/>
        </w:rPr>
        <w:t>ourselves</w:t>
      </w:r>
      <w:proofErr w:type="gramEnd"/>
      <w:r w:rsidRPr="43B00504">
        <w:rPr>
          <w:rFonts w:ascii="Tahoma" w:hAnsi="Tahoma" w:cs="Tahoma"/>
          <w:sz w:val="28"/>
          <w:szCs w:val="28"/>
        </w:rPr>
        <w:t xml:space="preserve">, the picture is more nuanced. We directly employ support workers in-house because the nature of our work requires them to have specialist training, security clearance, and knowledge of the business. This is more effective and secure than bringing in external agency workers. The current system does not </w:t>
      </w:r>
      <w:r w:rsidRPr="43B00504">
        <w:rPr>
          <w:rFonts w:ascii="Tahoma" w:hAnsi="Tahoma" w:cs="Tahoma"/>
          <w:sz w:val="28"/>
          <w:szCs w:val="28"/>
        </w:rPr>
        <w:lastRenderedPageBreak/>
        <w:t>adequately recognise or accommodate this model of support worker provision, and the NAO’s finding risks being used to justify further cost-shifting onto employers who are already going above and beyond.</w:t>
      </w:r>
    </w:p>
    <w:p w14:paraId="7EFBFAD5"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Payment Delays and Their Impact on Service Providers</w:t>
      </w:r>
    </w:p>
    <w:p w14:paraId="23D2B3B1" w14:textId="7AFE5F4E"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21. The NAO found that outstanding payment requests more than quadrupled from 6,900 at March 2022 to 31,700 at March 2025,</w:t>
      </w:r>
      <w:r w:rsidRPr="43B00504">
        <w:rPr>
          <w:rStyle w:val="FootnoteReference"/>
          <w:rFonts w:ascii="Tahoma" w:hAnsi="Tahoma" w:cs="Tahoma"/>
          <w:sz w:val="28"/>
          <w:szCs w:val="28"/>
        </w:rPr>
        <w:footnoteReference w:id="15"/>
      </w:r>
      <w:r w:rsidRPr="43B00504">
        <w:rPr>
          <w:rFonts w:ascii="Tahoma" w:hAnsi="Tahoma" w:cs="Tahoma"/>
          <w:sz w:val="28"/>
          <w:szCs w:val="28"/>
        </w:rPr>
        <w:t xml:space="preserve"> and that DWP does not even collect data on how long payments take to process.</w:t>
      </w:r>
      <w:r w:rsidRPr="43B00504">
        <w:rPr>
          <w:rStyle w:val="FootnoteReference"/>
          <w:rFonts w:ascii="Tahoma" w:hAnsi="Tahoma" w:cs="Tahoma"/>
          <w:sz w:val="28"/>
          <w:szCs w:val="28"/>
        </w:rPr>
        <w:footnoteReference w:id="16"/>
      </w:r>
      <w:r w:rsidRPr="43B00504">
        <w:rPr>
          <w:rFonts w:ascii="Tahoma" w:hAnsi="Tahoma" w:cs="Tahoma"/>
          <w:sz w:val="28"/>
          <w:szCs w:val="28"/>
        </w:rPr>
        <w:t xml:space="preserve"> We can attest to the real-world consequences of this. We are aware of cases where repeated delays in Access to Work paying invoices to a taxi company providing travel-to-work services resulted in the company refusing to continue providing the service. The employee and their employer had to repeatedly chase payment and appease the service provider.</w:t>
      </w:r>
    </w:p>
    <w:p w14:paraId="65445FF2" w14:textId="2C29B151"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22. For small service providers, late payment from a government scheme creates genuine cash flow problems that can threaten their business. When those providers withdraw, it is the disabled employee who suffers — left without transport to work or without the support they need to do their job. The NAO’s recommendation that DWP improve data collection on case progression is welcome, but we would stress that what is needed is not just better data but a fundamental commitment to timely payment of invoices and an automated notification system so that employees know when invoices have been received and payments made.</w:t>
      </w:r>
    </w:p>
    <w:p w14:paraId="0B21AE2B"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lastRenderedPageBreak/>
        <w:t>Lack of Awareness of Access to Work</w:t>
      </w:r>
    </w:p>
    <w:p w14:paraId="262366A3" w14:textId="2678E4CF"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23. The NAO’s finding that at least 35 per cent of small employers surveyed were unaware of Access to Work,</w:t>
      </w:r>
      <w:r w:rsidRPr="43B00504">
        <w:rPr>
          <w:rStyle w:val="FootnoteReference"/>
          <w:rFonts w:ascii="Tahoma" w:hAnsi="Tahoma" w:cs="Tahoma"/>
          <w:sz w:val="28"/>
          <w:szCs w:val="28"/>
        </w:rPr>
        <w:footnoteReference w:id="17"/>
      </w:r>
      <w:r w:rsidRPr="43B00504">
        <w:rPr>
          <w:rFonts w:ascii="Tahoma" w:hAnsi="Tahoma" w:cs="Tahoma"/>
          <w:sz w:val="28"/>
          <w:szCs w:val="28"/>
        </w:rPr>
        <w:t xml:space="preserve"> and that half of jobseekers with complex disabilities did not know about it,</w:t>
      </w:r>
      <w:r w:rsidRPr="43B00504">
        <w:rPr>
          <w:rStyle w:val="FootnoteReference"/>
          <w:rFonts w:ascii="Tahoma" w:hAnsi="Tahoma" w:cs="Tahoma"/>
          <w:sz w:val="28"/>
          <w:szCs w:val="28"/>
        </w:rPr>
        <w:footnoteReference w:id="18"/>
      </w:r>
      <w:r w:rsidRPr="43B00504">
        <w:rPr>
          <w:rFonts w:ascii="Tahoma" w:hAnsi="Tahoma" w:cs="Tahoma"/>
          <w:sz w:val="28"/>
          <w:szCs w:val="28"/>
        </w:rPr>
        <w:t xml:space="preserve"> reflects our experience. We have supported employees who only discovered Access to Work existed because they happened to work for a supported employer. One employee told us they really appreciated Access to Work giving them support to travel to work in the winter months, as they would struggle to get there due to their disability. But it was only by chance that they found out about the scheme through a support worker at their employer. Even the Job Centre did not mention it when they were looking for work.</w:t>
      </w:r>
    </w:p>
    <w:p w14:paraId="37254BD7" w14:textId="7E30F5BC"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24.</w:t>
      </w:r>
      <w:r w:rsidR="00CC4C51" w:rsidRPr="43B00504">
        <w:rPr>
          <w:rFonts w:ascii="Tahoma" w:hAnsi="Tahoma" w:cs="Tahoma"/>
          <w:sz w:val="28"/>
          <w:szCs w:val="28"/>
        </w:rPr>
        <w:t xml:space="preserve"> The</w:t>
      </w:r>
      <w:r w:rsidR="5443BF17" w:rsidRPr="43B00504">
        <w:rPr>
          <w:rFonts w:ascii="Tahoma" w:hAnsi="Tahoma" w:cs="Tahoma"/>
          <w:sz w:val="28"/>
          <w:szCs w:val="28"/>
        </w:rPr>
        <w:t>re has been a</w:t>
      </w:r>
      <w:r w:rsidR="00CC4C51" w:rsidRPr="43B00504">
        <w:rPr>
          <w:rFonts w:ascii="Tahoma" w:hAnsi="Tahoma" w:cs="Tahoma"/>
          <w:sz w:val="28"/>
          <w:szCs w:val="28"/>
        </w:rPr>
        <w:t xml:space="preserve"> significant reduction in specialist Disability Employment Advisers in Jobcentre Plus offices — with the number of offices employing a full-time DEA falling from 226 to just 90 between 2011 and 2016</w:t>
      </w:r>
      <w:r w:rsidR="10D084BD" w:rsidRPr="43B00504">
        <w:rPr>
          <w:rFonts w:ascii="Tahoma" w:hAnsi="Tahoma" w:cs="Tahoma"/>
          <w:sz w:val="28"/>
          <w:szCs w:val="28"/>
        </w:rPr>
        <w:t xml:space="preserve">, which </w:t>
      </w:r>
      <w:r w:rsidR="00CC4C51" w:rsidRPr="43B00504">
        <w:rPr>
          <w:rFonts w:ascii="Tahoma" w:hAnsi="Tahoma" w:cs="Tahoma"/>
          <w:sz w:val="28"/>
          <w:szCs w:val="28"/>
        </w:rPr>
        <w:t xml:space="preserve">has created a gap in specialist knowledge at the point when disabled people are looking for work. Although DEAs have since been reinstated, their role is now primarily to support generalist Work Coaches rather than to work directly with disabled jobseekers. In Scotland, this gap is compounded by fragmentation between reserved DWP functions and devolved employability services. The consequence is that disabled people </w:t>
      </w:r>
      <w:r w:rsidR="10C05EC3" w:rsidRPr="43B00504">
        <w:rPr>
          <w:rFonts w:ascii="Tahoma" w:hAnsi="Tahoma" w:cs="Tahoma"/>
          <w:sz w:val="28"/>
          <w:szCs w:val="28"/>
        </w:rPr>
        <w:t xml:space="preserve">may </w:t>
      </w:r>
      <w:r w:rsidR="00CC4C51" w:rsidRPr="43B00504">
        <w:rPr>
          <w:rFonts w:ascii="Tahoma" w:hAnsi="Tahoma" w:cs="Tahoma"/>
          <w:sz w:val="28"/>
          <w:szCs w:val="28"/>
        </w:rPr>
        <w:t xml:space="preserve">never learn about Access to Work — the Sense </w:t>
      </w:r>
      <w:r w:rsidR="00CC4C51" w:rsidRPr="43B00504">
        <w:rPr>
          <w:rFonts w:ascii="Tahoma" w:hAnsi="Tahoma" w:cs="Tahoma"/>
          <w:sz w:val="28"/>
          <w:szCs w:val="28"/>
        </w:rPr>
        <w:lastRenderedPageBreak/>
        <w:t>poll cited in the NAO Report found that 50 per cent of disabled jobseekers with complex disabilities were unaware the scheme</w:t>
      </w:r>
      <w:r w:rsidR="002E4AAF" w:rsidRPr="43B00504">
        <w:rPr>
          <w:rFonts w:ascii="Tahoma" w:hAnsi="Tahoma" w:cs="Tahoma"/>
          <w:sz w:val="28"/>
          <w:szCs w:val="28"/>
        </w:rPr>
        <w:t xml:space="preserve">. </w:t>
      </w:r>
    </w:p>
    <w:p w14:paraId="2CDB3BAB" w14:textId="77777777" w:rsidR="00996196" w:rsidRPr="00DC3A5C" w:rsidRDefault="00DA32D3" w:rsidP="43B00504">
      <w:pPr>
        <w:pStyle w:val="Heading1"/>
        <w:spacing w:line="360" w:lineRule="auto"/>
        <w:rPr>
          <w:rFonts w:ascii="Tahoma" w:hAnsi="Tahoma" w:cs="Tahoma"/>
          <w:color w:val="auto"/>
          <w:sz w:val="28"/>
          <w:szCs w:val="28"/>
        </w:rPr>
      </w:pPr>
      <w:r w:rsidRPr="43B00504">
        <w:rPr>
          <w:rFonts w:ascii="Tahoma" w:hAnsi="Tahoma" w:cs="Tahoma"/>
          <w:color w:val="auto"/>
          <w:sz w:val="28"/>
          <w:szCs w:val="28"/>
        </w:rPr>
        <w:t>Conclusion</w:t>
      </w:r>
    </w:p>
    <w:p w14:paraId="718CCA50" w14:textId="109561E9" w:rsidR="00996196" w:rsidRPr="00DC3A5C" w:rsidRDefault="005E1DC5" w:rsidP="43B00504">
      <w:pPr>
        <w:spacing w:after="200" w:line="360" w:lineRule="auto"/>
        <w:rPr>
          <w:rFonts w:ascii="Tahoma" w:hAnsi="Tahoma" w:cs="Tahoma"/>
          <w:sz w:val="28"/>
          <w:szCs w:val="28"/>
        </w:rPr>
      </w:pPr>
      <w:r w:rsidRPr="43B00504">
        <w:rPr>
          <w:rFonts w:ascii="Tahoma" w:hAnsi="Tahoma" w:cs="Tahoma"/>
          <w:sz w:val="28"/>
          <w:szCs w:val="28"/>
        </w:rPr>
        <w:t>25. The Access to Work scheme remains essential to enabling disabled people to gain and retain employment, and to encouraging employers to offer and sustain roles for disabled people. One of our employees put it well: despite the many issues they experienced, they believed the scheme was essential in enabling many disabled people to gain and retain employment, and in encouraging employers to consider offering jobs. A wider awareness campaign informing both employers and disabled people of the benefits of the scheme, alongside a simplified application process, would be a positive way forward.</w:t>
      </w:r>
    </w:p>
    <w:p w14:paraId="413A4BEF" w14:textId="5D1281AD" w:rsidR="00996196" w:rsidRPr="00DC3A5C" w:rsidRDefault="00DA32D3" w:rsidP="43B00504">
      <w:pPr>
        <w:spacing w:after="200" w:line="360" w:lineRule="auto"/>
        <w:rPr>
          <w:rFonts w:ascii="Tahoma" w:hAnsi="Tahoma" w:cs="Tahoma"/>
          <w:sz w:val="28"/>
          <w:szCs w:val="28"/>
        </w:rPr>
      </w:pPr>
      <w:r w:rsidRPr="43B00504">
        <w:rPr>
          <w:rFonts w:ascii="Tahoma" w:hAnsi="Tahoma" w:cs="Tahoma"/>
          <w:sz w:val="28"/>
          <w:szCs w:val="28"/>
        </w:rPr>
        <w:t>However, the NAO’s findings confirm that the scheme is currently failing the people it is designed to serve. Processing times nearly four times the target, a backlog that DWP admits it cannot clear without additional resources and policy changes,</w:t>
      </w:r>
      <w:r w:rsidRPr="43B00504">
        <w:rPr>
          <w:rStyle w:val="FootnoteReference"/>
          <w:rFonts w:ascii="Tahoma" w:hAnsi="Tahoma" w:cs="Tahoma"/>
          <w:sz w:val="28"/>
          <w:szCs w:val="28"/>
        </w:rPr>
        <w:footnoteReference w:id="19"/>
      </w:r>
      <w:r w:rsidRPr="43B00504">
        <w:rPr>
          <w:rFonts w:ascii="Tahoma" w:hAnsi="Tahoma" w:cs="Tahoma"/>
          <w:sz w:val="28"/>
          <w:szCs w:val="28"/>
        </w:rPr>
        <w:t xml:space="preserve"> and a payment system so unreliable that service providers are withdrawing — these are not minor operational hiccups. They represent a systematic failure that is costing disabled people jobs, causing financial hardship, and undermining the government’s own employment objectives.</w:t>
      </w:r>
    </w:p>
    <w:p w14:paraId="470CF310" w14:textId="4444A582" w:rsidR="003F0792" w:rsidRDefault="00DA32D3" w:rsidP="43B00504">
      <w:pPr>
        <w:spacing w:after="200" w:line="360" w:lineRule="auto"/>
        <w:rPr>
          <w:rFonts w:ascii="Tahoma" w:hAnsi="Tahoma" w:cs="Tahoma"/>
          <w:sz w:val="28"/>
          <w:szCs w:val="28"/>
        </w:rPr>
      </w:pPr>
      <w:r w:rsidRPr="43B00504">
        <w:rPr>
          <w:rFonts w:ascii="Tahoma" w:hAnsi="Tahoma" w:cs="Tahoma"/>
          <w:sz w:val="28"/>
          <w:szCs w:val="28"/>
        </w:rPr>
        <w:t xml:space="preserve">As a charity that has been supporting people with sight loss for over 230 years, and as a supported employer with direct daily experience of the Access to Work scheme, we urge the Committee to hold DWP to account for these failures and to press for the systemic reforms that disabled </w:t>
      </w:r>
      <w:r w:rsidRPr="43B00504">
        <w:rPr>
          <w:rFonts w:ascii="Tahoma" w:hAnsi="Tahoma" w:cs="Tahoma"/>
          <w:sz w:val="28"/>
          <w:szCs w:val="28"/>
        </w:rPr>
        <w:lastRenderedPageBreak/>
        <w:t>people and their employers have been calling for. The solutions are not mysterious. What has been missing is the political will and institutional commitment to implement them.</w:t>
      </w:r>
    </w:p>
    <w:p w14:paraId="69C6B558" w14:textId="3CD63511" w:rsidR="00996196" w:rsidRPr="00DC3A5C" w:rsidRDefault="00DA32D3" w:rsidP="43B00504">
      <w:pPr>
        <w:spacing w:after="200" w:line="360" w:lineRule="auto"/>
        <w:rPr>
          <w:rFonts w:ascii="Tahoma" w:hAnsi="Tahoma" w:cs="Tahoma"/>
          <w:sz w:val="28"/>
          <w:szCs w:val="28"/>
        </w:rPr>
      </w:pPr>
      <w:r w:rsidRPr="43B00504">
        <w:rPr>
          <w:rFonts w:ascii="Tahoma" w:hAnsi="Tahoma" w:cs="Tahoma"/>
          <w:b/>
          <w:bCs/>
          <w:sz w:val="28"/>
          <w:szCs w:val="28"/>
        </w:rPr>
        <w:t>Contact information</w:t>
      </w:r>
    </w:p>
    <w:p w14:paraId="161A28E8" w14:textId="5CF71457" w:rsidR="0EFCAA5A" w:rsidRDefault="0EFCAA5A" w:rsidP="43B00504">
      <w:pPr>
        <w:spacing w:after="200" w:line="360" w:lineRule="auto"/>
        <w:rPr>
          <w:rFonts w:ascii="Tahoma" w:eastAsia="Tahoma" w:hAnsi="Tahoma" w:cs="Tahoma"/>
          <w:sz w:val="28"/>
          <w:szCs w:val="28"/>
        </w:rPr>
      </w:pPr>
      <w:r w:rsidRPr="43B00504">
        <w:rPr>
          <w:rFonts w:ascii="Tahoma" w:eastAsia="Tahoma" w:hAnsi="Tahoma" w:cs="Tahoma"/>
          <w:sz w:val="28"/>
          <w:szCs w:val="28"/>
        </w:rPr>
        <w:t>Joanna Zawadzka, Campaigns and External Affairs Officer</w:t>
      </w:r>
    </w:p>
    <w:p w14:paraId="0966FDF7" w14:textId="2B5550CC" w:rsidR="0EFCAA5A" w:rsidRDefault="0EFCAA5A" w:rsidP="43B00504">
      <w:pPr>
        <w:spacing w:after="200" w:line="360" w:lineRule="auto"/>
        <w:rPr>
          <w:rFonts w:ascii="Tahoma" w:eastAsia="Tahoma" w:hAnsi="Tahoma" w:cs="Tahoma"/>
          <w:sz w:val="28"/>
          <w:szCs w:val="28"/>
        </w:rPr>
      </w:pPr>
      <w:r w:rsidRPr="43B00504">
        <w:rPr>
          <w:rFonts w:ascii="Tahoma" w:eastAsia="Tahoma" w:hAnsi="Tahoma" w:cs="Tahoma"/>
          <w:sz w:val="28"/>
          <w:szCs w:val="28"/>
        </w:rPr>
        <w:t xml:space="preserve">Email: </w:t>
      </w:r>
      <w:hyperlink r:id="rId7">
        <w:r w:rsidRPr="43B00504">
          <w:rPr>
            <w:rStyle w:val="Hyperlink"/>
            <w:rFonts w:ascii="Tahoma" w:eastAsia="Tahoma" w:hAnsi="Tahoma" w:cs="Tahoma"/>
            <w:color w:val="auto"/>
            <w:sz w:val="28"/>
            <w:szCs w:val="28"/>
          </w:rPr>
          <w:t>joanna.zawadzka@sightscotland.org.uk</w:t>
        </w:r>
      </w:hyperlink>
      <w:r w:rsidRPr="43B00504">
        <w:rPr>
          <w:rFonts w:ascii="Tahoma" w:eastAsia="Tahoma" w:hAnsi="Tahoma" w:cs="Tahoma"/>
          <w:sz w:val="28"/>
          <w:szCs w:val="28"/>
        </w:rPr>
        <w:t xml:space="preserve"> </w:t>
      </w:r>
    </w:p>
    <w:p w14:paraId="0727CD82" w14:textId="77777777" w:rsidR="00996196" w:rsidRPr="00DC3A5C" w:rsidRDefault="00DA32D3" w:rsidP="43B00504">
      <w:pPr>
        <w:spacing w:after="80" w:line="360" w:lineRule="auto"/>
        <w:rPr>
          <w:rFonts w:ascii="Tahoma" w:hAnsi="Tahoma" w:cs="Tahoma"/>
          <w:sz w:val="28"/>
          <w:szCs w:val="28"/>
        </w:rPr>
      </w:pPr>
      <w:r w:rsidRPr="43B00504">
        <w:rPr>
          <w:rFonts w:ascii="Tahoma" w:hAnsi="Tahoma" w:cs="Tahoma"/>
          <w:b/>
          <w:bCs/>
          <w:sz w:val="28"/>
          <w:szCs w:val="28"/>
        </w:rPr>
        <w:t>Sight Scotland and Sight Scotland Veterans</w:t>
      </w:r>
    </w:p>
    <w:p w14:paraId="1D03B438" w14:textId="77777777" w:rsidR="00996196" w:rsidRPr="00DC3A5C" w:rsidRDefault="00DA32D3" w:rsidP="43B00504">
      <w:pPr>
        <w:spacing w:after="80" w:line="360" w:lineRule="auto"/>
        <w:rPr>
          <w:rFonts w:ascii="Tahoma" w:hAnsi="Tahoma" w:cs="Tahoma"/>
          <w:sz w:val="28"/>
          <w:szCs w:val="28"/>
        </w:rPr>
      </w:pPr>
      <w:r w:rsidRPr="43B00504">
        <w:rPr>
          <w:rFonts w:ascii="Tahoma" w:hAnsi="Tahoma" w:cs="Tahoma"/>
          <w:sz w:val="28"/>
          <w:szCs w:val="28"/>
        </w:rPr>
        <w:t>2A Robertson Avenue, Edinburgh, EH11 1PZ</w:t>
      </w:r>
    </w:p>
    <w:p w14:paraId="32258077" w14:textId="77777777" w:rsidR="00996196" w:rsidRPr="00DC3A5C" w:rsidRDefault="00DA32D3" w:rsidP="43B00504">
      <w:pPr>
        <w:spacing w:after="80" w:line="360" w:lineRule="auto"/>
        <w:rPr>
          <w:rFonts w:ascii="Tahoma" w:hAnsi="Tahoma" w:cs="Tahoma"/>
          <w:sz w:val="28"/>
          <w:szCs w:val="28"/>
        </w:rPr>
      </w:pPr>
      <w:r w:rsidRPr="43B00504">
        <w:rPr>
          <w:rFonts w:ascii="Tahoma" w:hAnsi="Tahoma" w:cs="Tahoma"/>
          <w:sz w:val="28"/>
          <w:szCs w:val="28"/>
        </w:rPr>
        <w:t>sightscotland.org.uk</w:t>
      </w:r>
    </w:p>
    <w:p w14:paraId="63BE30F1" w14:textId="77777777" w:rsidR="00996196" w:rsidRPr="00DC3A5C" w:rsidRDefault="00DA32D3" w:rsidP="43B00504">
      <w:pPr>
        <w:spacing w:after="200" w:line="360" w:lineRule="auto"/>
        <w:rPr>
          <w:rFonts w:ascii="Tahoma" w:hAnsi="Tahoma" w:cs="Tahoma"/>
          <w:sz w:val="28"/>
          <w:szCs w:val="28"/>
        </w:rPr>
      </w:pPr>
      <w:r w:rsidRPr="43B00504">
        <w:rPr>
          <w:rFonts w:ascii="Tahoma" w:hAnsi="Tahoma" w:cs="Tahoma"/>
          <w:sz w:val="28"/>
          <w:szCs w:val="28"/>
        </w:rPr>
        <w:t>Scottish Charity Numbers: SC017167 (Sight Scotland) and SC047192 (Sight Scotland Veterans)</w:t>
      </w:r>
    </w:p>
    <w:p w14:paraId="29310341" w14:textId="0BF9202D" w:rsidR="18C2B3BB" w:rsidRDefault="18C2B3BB" w:rsidP="43B00504">
      <w:pPr>
        <w:pStyle w:val="Heading2"/>
        <w:rPr>
          <w:rFonts w:ascii="Tahoma" w:eastAsia="Tahoma" w:hAnsi="Tahoma" w:cs="Tahoma"/>
          <w:color w:val="auto"/>
        </w:rPr>
      </w:pPr>
      <w:r w:rsidRPr="43B00504">
        <w:rPr>
          <w:rFonts w:ascii="Tahoma" w:eastAsia="Tahoma" w:hAnsi="Tahoma" w:cs="Tahoma"/>
          <w:color w:val="auto"/>
        </w:rPr>
        <w:t>END OF DOCUMENT</w:t>
      </w:r>
    </w:p>
    <w:sectPr w:rsidR="18C2B3BB">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054F" w14:textId="77777777" w:rsidR="00A41E54" w:rsidRDefault="00A41E54">
      <w:r>
        <w:separator/>
      </w:r>
    </w:p>
  </w:endnote>
  <w:endnote w:type="continuationSeparator" w:id="0">
    <w:p w14:paraId="6ADB8F80" w14:textId="77777777" w:rsidR="00A41E54" w:rsidRDefault="00A4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D5FD" w14:textId="77777777" w:rsidR="00A41E54" w:rsidRDefault="00A41E54">
      <w:r>
        <w:separator/>
      </w:r>
    </w:p>
  </w:footnote>
  <w:footnote w:type="continuationSeparator" w:id="0">
    <w:p w14:paraId="7D34CB9B" w14:textId="77777777" w:rsidR="00A41E54" w:rsidRDefault="00A41E54">
      <w:r>
        <w:continuationSeparator/>
      </w:r>
    </w:p>
  </w:footnote>
  <w:footnote w:id="1">
    <w:p w14:paraId="038E60CD" w14:textId="77777777" w:rsidR="00996196" w:rsidRDefault="00DA32D3">
      <w:r>
        <w:rPr>
          <w:rStyle w:val="FootnoteReference"/>
        </w:rPr>
        <w:footnoteRef/>
      </w:r>
      <w:r>
        <w:rPr>
          <w:sz w:val="20"/>
          <w:szCs w:val="20"/>
        </w:rPr>
        <w:t>National Audit Office, The Access to Work scheme, HC 1644, February 2026, p.10, para 14; p.29, para 3.2.</w:t>
      </w:r>
    </w:p>
  </w:footnote>
  <w:footnote w:id="2">
    <w:p w14:paraId="082455C5" w14:textId="77777777" w:rsidR="00996196" w:rsidRDefault="00DA32D3">
      <w:r>
        <w:rPr>
          <w:rStyle w:val="FootnoteReference"/>
        </w:rPr>
        <w:footnoteRef/>
      </w:r>
      <w:r>
        <w:rPr>
          <w:sz w:val="20"/>
          <w:szCs w:val="20"/>
        </w:rPr>
        <w:t>NAO Report, p.4, Key Facts; p.29, para 3.2.</w:t>
      </w:r>
    </w:p>
  </w:footnote>
  <w:footnote w:id="3">
    <w:p w14:paraId="74FB0A01" w14:textId="77777777" w:rsidR="00996196" w:rsidRDefault="00DA32D3">
      <w:r>
        <w:rPr>
          <w:rStyle w:val="FootnoteReference"/>
        </w:rPr>
        <w:footnoteRef/>
      </w:r>
      <w:r>
        <w:rPr>
          <w:sz w:val="20"/>
          <w:szCs w:val="20"/>
        </w:rPr>
        <w:t>NAO Report, p.33, para 3.7. Complaints rose from 234 in 2022-23 to 657 in 2024-25, with 800 in the first six months of 2025-26.</w:t>
      </w:r>
    </w:p>
  </w:footnote>
  <w:footnote w:id="4">
    <w:p w14:paraId="5DBBC558" w14:textId="77777777" w:rsidR="00996196" w:rsidRDefault="00575121">
      <w:r>
        <w:rPr>
          <w:rStyle w:val="FootnoteReference"/>
        </w:rPr>
        <w:footnoteRef/>
      </w:r>
      <w:r>
        <w:rPr>
          <w:sz w:val="20"/>
          <w:szCs w:val="20"/>
        </w:rPr>
        <w:t>NAO Report, p.4, Key Facts; p.20, para 2.3.</w:t>
      </w:r>
    </w:p>
  </w:footnote>
  <w:footnote w:id="5">
    <w:p w14:paraId="078E99EA" w14:textId="77777777" w:rsidR="00996196" w:rsidRDefault="00DA32D3">
      <w:r>
        <w:rPr>
          <w:rStyle w:val="FootnoteReference"/>
        </w:rPr>
        <w:footnoteRef/>
      </w:r>
      <w:r>
        <w:rPr>
          <w:sz w:val="20"/>
          <w:szCs w:val="20"/>
        </w:rPr>
        <w:t>NAO Report, p.12, Recommendations d and e.</w:t>
      </w:r>
    </w:p>
  </w:footnote>
  <w:footnote w:id="6">
    <w:p w14:paraId="04B34A6D" w14:textId="77777777" w:rsidR="00996196" w:rsidRDefault="00DA32D3">
      <w:r>
        <w:rPr>
          <w:rStyle w:val="FootnoteReference"/>
        </w:rPr>
        <w:footnoteRef/>
      </w:r>
      <w:r>
        <w:rPr>
          <w:sz w:val="20"/>
          <w:szCs w:val="20"/>
        </w:rPr>
        <w:t>NAO Report, p.11, para 18; p.37, para 3.18.</w:t>
      </w:r>
    </w:p>
  </w:footnote>
  <w:footnote w:id="7">
    <w:p w14:paraId="6D3AF5B6" w14:textId="77777777" w:rsidR="00996196" w:rsidRDefault="00DA32D3">
      <w:r>
        <w:rPr>
          <w:rStyle w:val="FootnoteReference"/>
        </w:rPr>
        <w:footnoteRef/>
      </w:r>
      <w:r>
        <w:rPr>
          <w:sz w:val="20"/>
          <w:szCs w:val="20"/>
        </w:rPr>
        <w:t>NAO Report, p.29, para 3.2.</w:t>
      </w:r>
    </w:p>
  </w:footnote>
  <w:footnote w:id="8">
    <w:p w14:paraId="18BB5881" w14:textId="77777777" w:rsidR="00534245" w:rsidRDefault="00534245"/>
    <w:p w14:paraId="5E93E75A" w14:textId="77777777" w:rsidR="002D2A74" w:rsidRDefault="002D2A74"/>
  </w:footnote>
  <w:footnote w:id="9">
    <w:p w14:paraId="09F13737" w14:textId="77777777" w:rsidR="00996196" w:rsidRDefault="00DA32D3">
      <w:r>
        <w:rPr>
          <w:rStyle w:val="FootnoteReference"/>
        </w:rPr>
        <w:footnoteRef/>
      </w:r>
      <w:r>
        <w:rPr>
          <w:sz w:val="20"/>
          <w:szCs w:val="20"/>
        </w:rPr>
        <w:t>NAO Report, p.37, para 3.15.</w:t>
      </w:r>
    </w:p>
  </w:footnote>
  <w:footnote w:id="10">
    <w:p w14:paraId="05DFE245" w14:textId="77777777" w:rsidR="00996196" w:rsidRDefault="00DA32D3">
      <w:r>
        <w:rPr>
          <w:rStyle w:val="FootnoteReference"/>
        </w:rPr>
        <w:footnoteRef/>
      </w:r>
      <w:r>
        <w:rPr>
          <w:sz w:val="20"/>
          <w:szCs w:val="20"/>
        </w:rPr>
        <w:t>NAO Report, p.29, para 3.2.</w:t>
      </w:r>
    </w:p>
  </w:footnote>
  <w:footnote w:id="11">
    <w:p w14:paraId="78F827C3" w14:textId="77777777" w:rsidR="00996196" w:rsidRDefault="00DA32D3">
      <w:r>
        <w:rPr>
          <w:rStyle w:val="FootnoteReference"/>
        </w:rPr>
        <w:footnoteRef/>
      </w:r>
      <w:r>
        <w:rPr>
          <w:sz w:val="20"/>
          <w:szCs w:val="20"/>
        </w:rPr>
        <w:t>NAO Report, p.29–30, para 3.2 and Figure 9, note 4.</w:t>
      </w:r>
    </w:p>
  </w:footnote>
  <w:footnote w:id="12">
    <w:p w14:paraId="631A549B" w14:textId="77777777" w:rsidR="00996196" w:rsidRDefault="00DA32D3">
      <w:r>
        <w:rPr>
          <w:rStyle w:val="FootnoteReference"/>
        </w:rPr>
        <w:footnoteRef/>
      </w:r>
      <w:r>
        <w:rPr>
          <w:sz w:val="20"/>
          <w:szCs w:val="20"/>
        </w:rPr>
        <w:t>NAO Report, p.37, para 3.15.</w:t>
      </w:r>
    </w:p>
  </w:footnote>
  <w:footnote w:id="13">
    <w:p w14:paraId="042CA663" w14:textId="77777777" w:rsidR="00996196" w:rsidRDefault="00DA32D3">
      <w:r>
        <w:rPr>
          <w:rStyle w:val="FootnoteReference"/>
        </w:rPr>
        <w:footnoteRef/>
      </w:r>
      <w:r>
        <w:rPr>
          <w:sz w:val="20"/>
          <w:szCs w:val="20"/>
        </w:rPr>
        <w:t>NAO Report, pp.8–9, Summary para 9; pp.16–18, paras 1.13–1.20.</w:t>
      </w:r>
    </w:p>
  </w:footnote>
  <w:footnote w:id="14">
    <w:p w14:paraId="3FF7E2E8" w14:textId="77777777" w:rsidR="00996196" w:rsidRDefault="00DA32D3">
      <w:r>
        <w:rPr>
          <w:rStyle w:val="FootnoteReference"/>
        </w:rPr>
        <w:footnoteRef/>
      </w:r>
      <w:r>
        <w:rPr>
          <w:sz w:val="20"/>
          <w:szCs w:val="20"/>
        </w:rPr>
        <w:t>NAO Report, p.17, para 1.16.</w:t>
      </w:r>
    </w:p>
  </w:footnote>
  <w:footnote w:id="15">
    <w:p w14:paraId="23C8A7F0" w14:textId="77777777" w:rsidR="00996196" w:rsidRDefault="00DA32D3">
      <w:r>
        <w:rPr>
          <w:rStyle w:val="FootnoteReference"/>
        </w:rPr>
        <w:footnoteRef/>
      </w:r>
      <w:r>
        <w:rPr>
          <w:sz w:val="20"/>
          <w:szCs w:val="20"/>
        </w:rPr>
        <w:t>NAO Report, p.10, para 14; p.29, para 3.2.</w:t>
      </w:r>
    </w:p>
  </w:footnote>
  <w:footnote w:id="16">
    <w:p w14:paraId="63DF6ADE" w14:textId="77777777" w:rsidR="00996196" w:rsidRDefault="00DA32D3">
      <w:r>
        <w:rPr>
          <w:rStyle w:val="FootnoteReference"/>
        </w:rPr>
        <w:footnoteRef/>
      </w:r>
      <w:r>
        <w:rPr>
          <w:sz w:val="20"/>
          <w:szCs w:val="20"/>
        </w:rPr>
        <w:t>NAO Report, p.30, Figure 9, note 4.</w:t>
      </w:r>
    </w:p>
  </w:footnote>
  <w:footnote w:id="17">
    <w:p w14:paraId="0D13A7D5" w14:textId="77777777" w:rsidR="00996196" w:rsidRDefault="00DA32D3">
      <w:r>
        <w:rPr>
          <w:rStyle w:val="FootnoteReference"/>
        </w:rPr>
        <w:footnoteRef/>
      </w:r>
      <w:r>
        <w:rPr>
          <w:sz w:val="20"/>
          <w:szCs w:val="20"/>
        </w:rPr>
        <w:t>NAO Report, p.21, para 2.4. The Federation of Small Businesses survey (May 2025) found at least 35% of 892 small employers were unaware of the scheme.</w:t>
      </w:r>
    </w:p>
  </w:footnote>
  <w:footnote w:id="18">
    <w:p w14:paraId="461A6068" w14:textId="77777777" w:rsidR="00996196" w:rsidRDefault="00DA32D3">
      <w:r>
        <w:rPr>
          <w:rStyle w:val="FootnoteReference"/>
        </w:rPr>
        <w:footnoteRef/>
      </w:r>
      <w:r>
        <w:rPr>
          <w:sz w:val="20"/>
          <w:szCs w:val="20"/>
        </w:rPr>
        <w:t>NAO Report, p.21, para 2.4. A poll of 1,005 people with complex disabilities by Sense (January 2023) found 50% of jobseekers were unaware.</w:t>
      </w:r>
    </w:p>
  </w:footnote>
  <w:footnote w:id="19">
    <w:p w14:paraId="7CF1614D" w14:textId="77777777" w:rsidR="00996196" w:rsidRDefault="00DA32D3">
      <w:r>
        <w:rPr>
          <w:rStyle w:val="FootnoteReference"/>
        </w:rPr>
        <w:footnoteRef/>
      </w:r>
      <w:r>
        <w:rPr>
          <w:sz w:val="20"/>
          <w:szCs w:val="20"/>
        </w:rPr>
        <w:t>NAO Report, p.37, para 3.18.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ADE"/>
    <w:multiLevelType w:val="hybridMultilevel"/>
    <w:tmpl w:val="37146FB2"/>
    <w:lvl w:ilvl="0" w:tplc="829074F8">
      <w:start w:val="1"/>
      <w:numFmt w:val="decimal"/>
      <w:lvlText w:val="%1."/>
      <w:lvlJc w:val="left"/>
      <w:pPr>
        <w:ind w:left="720" w:hanging="360"/>
      </w:pPr>
    </w:lvl>
    <w:lvl w:ilvl="1" w:tplc="B7BC4046">
      <w:numFmt w:val="decimal"/>
      <w:lvlText w:val=""/>
      <w:lvlJc w:val="left"/>
    </w:lvl>
    <w:lvl w:ilvl="2" w:tplc="3676C8D0">
      <w:numFmt w:val="decimal"/>
      <w:lvlText w:val=""/>
      <w:lvlJc w:val="left"/>
    </w:lvl>
    <w:lvl w:ilvl="3" w:tplc="5B58CB8A">
      <w:numFmt w:val="decimal"/>
      <w:lvlText w:val=""/>
      <w:lvlJc w:val="left"/>
    </w:lvl>
    <w:lvl w:ilvl="4" w:tplc="2A601506">
      <w:numFmt w:val="decimal"/>
      <w:lvlText w:val=""/>
      <w:lvlJc w:val="left"/>
    </w:lvl>
    <w:lvl w:ilvl="5" w:tplc="C9F0A036">
      <w:numFmt w:val="decimal"/>
      <w:lvlText w:val=""/>
      <w:lvlJc w:val="left"/>
    </w:lvl>
    <w:lvl w:ilvl="6" w:tplc="B2F62148">
      <w:numFmt w:val="decimal"/>
      <w:lvlText w:val=""/>
      <w:lvlJc w:val="left"/>
    </w:lvl>
    <w:lvl w:ilvl="7" w:tplc="2350F8C8">
      <w:numFmt w:val="decimal"/>
      <w:lvlText w:val=""/>
      <w:lvlJc w:val="left"/>
    </w:lvl>
    <w:lvl w:ilvl="8" w:tplc="AD3A30FA">
      <w:numFmt w:val="decimal"/>
      <w:lvlText w:val=""/>
      <w:lvlJc w:val="left"/>
    </w:lvl>
  </w:abstractNum>
  <w:abstractNum w:abstractNumId="1" w15:restartNumberingAfterBreak="0">
    <w:nsid w:val="3B5572D7"/>
    <w:multiLevelType w:val="hybridMultilevel"/>
    <w:tmpl w:val="F62218EE"/>
    <w:lvl w:ilvl="0" w:tplc="E52687C8">
      <w:start w:val="1"/>
      <w:numFmt w:val="bullet"/>
      <w:lvlText w:val="•"/>
      <w:lvlJc w:val="left"/>
      <w:pPr>
        <w:ind w:left="720" w:hanging="360"/>
      </w:pPr>
    </w:lvl>
    <w:lvl w:ilvl="1" w:tplc="6E6CB98C">
      <w:numFmt w:val="decimal"/>
      <w:lvlText w:val=""/>
      <w:lvlJc w:val="left"/>
    </w:lvl>
    <w:lvl w:ilvl="2" w:tplc="DD8E4E78">
      <w:numFmt w:val="decimal"/>
      <w:lvlText w:val=""/>
      <w:lvlJc w:val="left"/>
    </w:lvl>
    <w:lvl w:ilvl="3" w:tplc="C2EC4F92">
      <w:numFmt w:val="decimal"/>
      <w:lvlText w:val=""/>
      <w:lvlJc w:val="left"/>
    </w:lvl>
    <w:lvl w:ilvl="4" w:tplc="0C64C5E2">
      <w:numFmt w:val="decimal"/>
      <w:lvlText w:val=""/>
      <w:lvlJc w:val="left"/>
    </w:lvl>
    <w:lvl w:ilvl="5" w:tplc="FF587046">
      <w:numFmt w:val="decimal"/>
      <w:lvlText w:val=""/>
      <w:lvlJc w:val="left"/>
    </w:lvl>
    <w:lvl w:ilvl="6" w:tplc="9D9E6226">
      <w:numFmt w:val="decimal"/>
      <w:lvlText w:val=""/>
      <w:lvlJc w:val="left"/>
    </w:lvl>
    <w:lvl w:ilvl="7" w:tplc="B6ECEDCC">
      <w:numFmt w:val="decimal"/>
      <w:lvlText w:val=""/>
      <w:lvlJc w:val="left"/>
    </w:lvl>
    <w:lvl w:ilvl="8" w:tplc="73B69D9A">
      <w:numFmt w:val="decimal"/>
      <w:lvlText w:val=""/>
      <w:lvlJc w:val="left"/>
    </w:lvl>
  </w:abstractNum>
  <w:abstractNum w:abstractNumId="2" w15:restartNumberingAfterBreak="0">
    <w:nsid w:val="56DE477B"/>
    <w:multiLevelType w:val="hybridMultilevel"/>
    <w:tmpl w:val="36B4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807705"/>
    <w:multiLevelType w:val="hybridMultilevel"/>
    <w:tmpl w:val="BAB8BB42"/>
    <w:lvl w:ilvl="0" w:tplc="581CAE1C">
      <w:start w:val="1"/>
      <w:numFmt w:val="bullet"/>
      <w:lvlText w:val="●"/>
      <w:lvlJc w:val="left"/>
      <w:pPr>
        <w:ind w:left="720" w:hanging="360"/>
      </w:pPr>
    </w:lvl>
    <w:lvl w:ilvl="1" w:tplc="1694A066">
      <w:start w:val="1"/>
      <w:numFmt w:val="bullet"/>
      <w:lvlText w:val="○"/>
      <w:lvlJc w:val="left"/>
      <w:pPr>
        <w:ind w:left="1440" w:hanging="360"/>
      </w:pPr>
    </w:lvl>
    <w:lvl w:ilvl="2" w:tplc="FD74EAB8">
      <w:start w:val="1"/>
      <w:numFmt w:val="bullet"/>
      <w:lvlText w:val="■"/>
      <w:lvlJc w:val="left"/>
      <w:pPr>
        <w:ind w:left="2160" w:hanging="360"/>
      </w:pPr>
    </w:lvl>
    <w:lvl w:ilvl="3" w:tplc="58FC51EE">
      <w:start w:val="1"/>
      <w:numFmt w:val="bullet"/>
      <w:lvlText w:val="●"/>
      <w:lvlJc w:val="left"/>
      <w:pPr>
        <w:ind w:left="2880" w:hanging="360"/>
      </w:pPr>
    </w:lvl>
    <w:lvl w:ilvl="4" w:tplc="A3F8E41E">
      <w:start w:val="1"/>
      <w:numFmt w:val="bullet"/>
      <w:lvlText w:val="○"/>
      <w:lvlJc w:val="left"/>
      <w:pPr>
        <w:ind w:left="3600" w:hanging="360"/>
      </w:pPr>
    </w:lvl>
    <w:lvl w:ilvl="5" w:tplc="FC026530">
      <w:start w:val="1"/>
      <w:numFmt w:val="bullet"/>
      <w:lvlText w:val="■"/>
      <w:lvlJc w:val="left"/>
      <w:pPr>
        <w:ind w:left="4320" w:hanging="360"/>
      </w:pPr>
    </w:lvl>
    <w:lvl w:ilvl="6" w:tplc="7224740C">
      <w:start w:val="1"/>
      <w:numFmt w:val="bullet"/>
      <w:lvlText w:val="●"/>
      <w:lvlJc w:val="left"/>
      <w:pPr>
        <w:ind w:left="5040" w:hanging="360"/>
      </w:pPr>
    </w:lvl>
    <w:lvl w:ilvl="7" w:tplc="80DE4F7C">
      <w:start w:val="1"/>
      <w:numFmt w:val="bullet"/>
      <w:lvlText w:val="●"/>
      <w:lvlJc w:val="left"/>
      <w:pPr>
        <w:ind w:left="5760" w:hanging="360"/>
      </w:pPr>
    </w:lvl>
    <w:lvl w:ilvl="8" w:tplc="B6D46B04">
      <w:start w:val="1"/>
      <w:numFmt w:val="bullet"/>
      <w:lvlText w:val="●"/>
      <w:lvlJc w:val="left"/>
      <w:pPr>
        <w:ind w:left="6480" w:hanging="360"/>
      </w:pPr>
    </w:lvl>
  </w:abstractNum>
  <w:num w:numId="1" w16cid:durableId="470052618">
    <w:abstractNumId w:val="3"/>
    <w:lvlOverride w:ilvl="0">
      <w:startOverride w:val="1"/>
    </w:lvlOverride>
  </w:num>
  <w:num w:numId="2" w16cid:durableId="183156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96"/>
    <w:rsid w:val="00004EC6"/>
    <w:rsid w:val="000156BE"/>
    <w:rsid w:val="000169E3"/>
    <w:rsid w:val="00016F57"/>
    <w:rsid w:val="00042A4D"/>
    <w:rsid w:val="00057495"/>
    <w:rsid w:val="00065427"/>
    <w:rsid w:val="00080B47"/>
    <w:rsid w:val="000A1301"/>
    <w:rsid w:val="000A6C42"/>
    <w:rsid w:val="000B1A08"/>
    <w:rsid w:val="000D4AF0"/>
    <w:rsid w:val="000E5670"/>
    <w:rsid w:val="000F0355"/>
    <w:rsid w:val="000F1636"/>
    <w:rsid w:val="0010112D"/>
    <w:rsid w:val="00105F20"/>
    <w:rsid w:val="00142E5F"/>
    <w:rsid w:val="001445B5"/>
    <w:rsid w:val="00147DFD"/>
    <w:rsid w:val="001A1293"/>
    <w:rsid w:val="001C27E9"/>
    <w:rsid w:val="001E25A3"/>
    <w:rsid w:val="001E7949"/>
    <w:rsid w:val="00231E10"/>
    <w:rsid w:val="00246501"/>
    <w:rsid w:val="00274B88"/>
    <w:rsid w:val="002D2A74"/>
    <w:rsid w:val="002D4260"/>
    <w:rsid w:val="002E4AAF"/>
    <w:rsid w:val="002F5C02"/>
    <w:rsid w:val="00302061"/>
    <w:rsid w:val="00307B77"/>
    <w:rsid w:val="00311391"/>
    <w:rsid w:val="00314C0C"/>
    <w:rsid w:val="003263D9"/>
    <w:rsid w:val="00353AFA"/>
    <w:rsid w:val="0039528E"/>
    <w:rsid w:val="003B1D61"/>
    <w:rsid w:val="003C667E"/>
    <w:rsid w:val="003E730D"/>
    <w:rsid w:val="003F0792"/>
    <w:rsid w:val="003F668B"/>
    <w:rsid w:val="0041458D"/>
    <w:rsid w:val="004145BF"/>
    <w:rsid w:val="00422B44"/>
    <w:rsid w:val="00444770"/>
    <w:rsid w:val="00451632"/>
    <w:rsid w:val="00462084"/>
    <w:rsid w:val="004A047F"/>
    <w:rsid w:val="004B532B"/>
    <w:rsid w:val="004F579D"/>
    <w:rsid w:val="005028D0"/>
    <w:rsid w:val="00515D60"/>
    <w:rsid w:val="00516C7E"/>
    <w:rsid w:val="00534245"/>
    <w:rsid w:val="00543BFC"/>
    <w:rsid w:val="00560A2E"/>
    <w:rsid w:val="00560E3A"/>
    <w:rsid w:val="00575121"/>
    <w:rsid w:val="00594043"/>
    <w:rsid w:val="005A1190"/>
    <w:rsid w:val="005E1DC5"/>
    <w:rsid w:val="005F2CB2"/>
    <w:rsid w:val="006009EE"/>
    <w:rsid w:val="006046BA"/>
    <w:rsid w:val="006180F6"/>
    <w:rsid w:val="00640128"/>
    <w:rsid w:val="00663EE7"/>
    <w:rsid w:val="006B352F"/>
    <w:rsid w:val="006D3A8F"/>
    <w:rsid w:val="006E5F4C"/>
    <w:rsid w:val="006E614E"/>
    <w:rsid w:val="006F1696"/>
    <w:rsid w:val="00743669"/>
    <w:rsid w:val="00752977"/>
    <w:rsid w:val="00755FF3"/>
    <w:rsid w:val="0077676D"/>
    <w:rsid w:val="007B30DA"/>
    <w:rsid w:val="00803089"/>
    <w:rsid w:val="008843A7"/>
    <w:rsid w:val="008A0A06"/>
    <w:rsid w:val="008C28B4"/>
    <w:rsid w:val="008C6EDB"/>
    <w:rsid w:val="008D7203"/>
    <w:rsid w:val="008F00FB"/>
    <w:rsid w:val="009118E9"/>
    <w:rsid w:val="009201A2"/>
    <w:rsid w:val="00940F40"/>
    <w:rsid w:val="00943E2D"/>
    <w:rsid w:val="0094518C"/>
    <w:rsid w:val="00951684"/>
    <w:rsid w:val="00953BFC"/>
    <w:rsid w:val="0098138C"/>
    <w:rsid w:val="00996196"/>
    <w:rsid w:val="009A21ED"/>
    <w:rsid w:val="009B4853"/>
    <w:rsid w:val="009E4691"/>
    <w:rsid w:val="00A0232F"/>
    <w:rsid w:val="00A14109"/>
    <w:rsid w:val="00A31858"/>
    <w:rsid w:val="00A41E54"/>
    <w:rsid w:val="00A95B54"/>
    <w:rsid w:val="00AB3D21"/>
    <w:rsid w:val="00AD1018"/>
    <w:rsid w:val="00B057A4"/>
    <w:rsid w:val="00B16BFC"/>
    <w:rsid w:val="00B55D75"/>
    <w:rsid w:val="00BD0645"/>
    <w:rsid w:val="00BE3186"/>
    <w:rsid w:val="00BF0551"/>
    <w:rsid w:val="00C15BEC"/>
    <w:rsid w:val="00C358D8"/>
    <w:rsid w:val="00C5326D"/>
    <w:rsid w:val="00C67C04"/>
    <w:rsid w:val="00C72353"/>
    <w:rsid w:val="00C970B1"/>
    <w:rsid w:val="00CC2A6A"/>
    <w:rsid w:val="00CC4C51"/>
    <w:rsid w:val="00CD1C03"/>
    <w:rsid w:val="00CD277D"/>
    <w:rsid w:val="00D03D7E"/>
    <w:rsid w:val="00D54B5E"/>
    <w:rsid w:val="00D602F7"/>
    <w:rsid w:val="00D71173"/>
    <w:rsid w:val="00D718C2"/>
    <w:rsid w:val="00DA32D3"/>
    <w:rsid w:val="00DA6F84"/>
    <w:rsid w:val="00DB0C11"/>
    <w:rsid w:val="00DC3A5C"/>
    <w:rsid w:val="00DD3864"/>
    <w:rsid w:val="00DD6B85"/>
    <w:rsid w:val="00E07B53"/>
    <w:rsid w:val="00E242A1"/>
    <w:rsid w:val="00E51237"/>
    <w:rsid w:val="00E625E6"/>
    <w:rsid w:val="00E7560E"/>
    <w:rsid w:val="00F1007F"/>
    <w:rsid w:val="00F2152B"/>
    <w:rsid w:val="00F31736"/>
    <w:rsid w:val="00F46C01"/>
    <w:rsid w:val="00F52D00"/>
    <w:rsid w:val="00F54DD7"/>
    <w:rsid w:val="00F8524A"/>
    <w:rsid w:val="02D098AD"/>
    <w:rsid w:val="0367D78B"/>
    <w:rsid w:val="043E3E0F"/>
    <w:rsid w:val="05068CC4"/>
    <w:rsid w:val="0789E1E8"/>
    <w:rsid w:val="08C7CE91"/>
    <w:rsid w:val="09A70C68"/>
    <w:rsid w:val="0A0EA3D9"/>
    <w:rsid w:val="0A437AE5"/>
    <w:rsid w:val="0A9470F2"/>
    <w:rsid w:val="0B210ED0"/>
    <w:rsid w:val="0B4F21EF"/>
    <w:rsid w:val="0C8EFE49"/>
    <w:rsid w:val="0D493612"/>
    <w:rsid w:val="0EFCAA5A"/>
    <w:rsid w:val="0F546D0E"/>
    <w:rsid w:val="0F856066"/>
    <w:rsid w:val="103E5A5F"/>
    <w:rsid w:val="1060D2FF"/>
    <w:rsid w:val="10C05EC3"/>
    <w:rsid w:val="10D084BD"/>
    <w:rsid w:val="10F0E8DB"/>
    <w:rsid w:val="12B3A709"/>
    <w:rsid w:val="12C3C022"/>
    <w:rsid w:val="145181E7"/>
    <w:rsid w:val="14CD55DF"/>
    <w:rsid w:val="15972E87"/>
    <w:rsid w:val="18C2B3BB"/>
    <w:rsid w:val="19804E5C"/>
    <w:rsid w:val="19AB5931"/>
    <w:rsid w:val="19F6698B"/>
    <w:rsid w:val="1AEAA60D"/>
    <w:rsid w:val="1B879F84"/>
    <w:rsid w:val="1BFFDE89"/>
    <w:rsid w:val="1D1AFE0D"/>
    <w:rsid w:val="23568769"/>
    <w:rsid w:val="244FCEAE"/>
    <w:rsid w:val="2688F59A"/>
    <w:rsid w:val="275F19D7"/>
    <w:rsid w:val="27738CAD"/>
    <w:rsid w:val="279AAB2A"/>
    <w:rsid w:val="2860E905"/>
    <w:rsid w:val="2868DA95"/>
    <w:rsid w:val="2A7A6C72"/>
    <w:rsid w:val="2BB606B2"/>
    <w:rsid w:val="2BF500AB"/>
    <w:rsid w:val="2DBD9D41"/>
    <w:rsid w:val="2E78C728"/>
    <w:rsid w:val="300C125F"/>
    <w:rsid w:val="3249FDC7"/>
    <w:rsid w:val="33CF1C54"/>
    <w:rsid w:val="33D3247D"/>
    <w:rsid w:val="35813DB0"/>
    <w:rsid w:val="35E960D9"/>
    <w:rsid w:val="381362AB"/>
    <w:rsid w:val="3847C6BC"/>
    <w:rsid w:val="38E04852"/>
    <w:rsid w:val="3ACC5C2A"/>
    <w:rsid w:val="3CB23857"/>
    <w:rsid w:val="3D215941"/>
    <w:rsid w:val="3D7DF320"/>
    <w:rsid w:val="3EAD3977"/>
    <w:rsid w:val="3EDAD6D6"/>
    <w:rsid w:val="40124909"/>
    <w:rsid w:val="408584D6"/>
    <w:rsid w:val="408AE2DA"/>
    <w:rsid w:val="416BEF3F"/>
    <w:rsid w:val="43520A19"/>
    <w:rsid w:val="43936A5F"/>
    <w:rsid w:val="439BF65E"/>
    <w:rsid w:val="43B00504"/>
    <w:rsid w:val="45E8936B"/>
    <w:rsid w:val="45F12C70"/>
    <w:rsid w:val="46F2DED3"/>
    <w:rsid w:val="47A2598C"/>
    <w:rsid w:val="487C43C4"/>
    <w:rsid w:val="48D1295F"/>
    <w:rsid w:val="4A1F9CE6"/>
    <w:rsid w:val="4ACE322C"/>
    <w:rsid w:val="4D513C9B"/>
    <w:rsid w:val="4DA4C75E"/>
    <w:rsid w:val="4FCC10AB"/>
    <w:rsid w:val="500C2DAC"/>
    <w:rsid w:val="52E02DA5"/>
    <w:rsid w:val="53810518"/>
    <w:rsid w:val="5443BF17"/>
    <w:rsid w:val="547A1510"/>
    <w:rsid w:val="56820237"/>
    <w:rsid w:val="574EE4FE"/>
    <w:rsid w:val="57E96F2C"/>
    <w:rsid w:val="583EE163"/>
    <w:rsid w:val="5E089DCA"/>
    <w:rsid w:val="61BFAF56"/>
    <w:rsid w:val="648E3CA3"/>
    <w:rsid w:val="6561FBFB"/>
    <w:rsid w:val="6965113C"/>
    <w:rsid w:val="6B8FF88D"/>
    <w:rsid w:val="6C07340A"/>
    <w:rsid w:val="6C754C5F"/>
    <w:rsid w:val="6EBDD968"/>
    <w:rsid w:val="72209A1F"/>
    <w:rsid w:val="725DAFA4"/>
    <w:rsid w:val="72ED5991"/>
    <w:rsid w:val="74ADBD5B"/>
    <w:rsid w:val="76D73B21"/>
    <w:rsid w:val="788E5697"/>
    <w:rsid w:val="78AFAD62"/>
    <w:rsid w:val="790AC3B3"/>
    <w:rsid w:val="790FC204"/>
    <w:rsid w:val="7B71BF61"/>
    <w:rsid w:val="7BDA9C6C"/>
    <w:rsid w:val="7C16B1B3"/>
    <w:rsid w:val="7D8B8595"/>
    <w:rsid w:val="7E6B1B30"/>
    <w:rsid w:val="7ED101BF"/>
    <w:rsid w:val="7EDF4811"/>
    <w:rsid w:val="7F0ABA68"/>
    <w:rsid w:val="7F5E225B"/>
    <w:rsid w:val="7FBA46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B14C"/>
  <w15:docId w15:val="{832857F4-842C-46DC-8C22-EA427318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2"/>
      <w:szCs w:val="32"/>
    </w:rPr>
  </w:style>
  <w:style w:type="paragraph" w:styleId="Heading2">
    <w:name w:val="heading 2"/>
    <w:uiPriority w:val="9"/>
    <w:semiHidden/>
    <w:unhideWhenUsed/>
    <w:qFormat/>
    <w:pPr>
      <w:spacing w:before="280" w:after="160"/>
      <w:outlineLvl w:val="1"/>
    </w:pPr>
    <w:rPr>
      <w:b/>
      <w:bCs/>
      <w:color w:val="2E75B6"/>
      <w:sz w:val="28"/>
      <w:szCs w:val="28"/>
    </w:rPr>
  </w:style>
  <w:style w:type="paragraph" w:styleId="Heading3">
    <w:name w:val="heading 3"/>
    <w:uiPriority w:val="9"/>
    <w:semiHidden/>
    <w:unhideWhenUsed/>
    <w:qFormat/>
    <w:pPr>
      <w:spacing w:before="200" w:after="120"/>
      <w:outlineLvl w:val="2"/>
    </w:pPr>
    <w:rPr>
      <w:b/>
      <w:bCs/>
      <w:color w:val="40404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semiHidden/>
    <w:unhideWhenUsed/>
    <w:rsid w:val="00B057A4"/>
    <w:pPr>
      <w:tabs>
        <w:tab w:val="center" w:pos="4680"/>
        <w:tab w:val="right" w:pos="9360"/>
      </w:tabs>
    </w:pPr>
  </w:style>
  <w:style w:type="character" w:customStyle="1" w:styleId="HeaderChar">
    <w:name w:val="Header Char"/>
    <w:basedOn w:val="DefaultParagraphFont"/>
    <w:link w:val="Header"/>
    <w:uiPriority w:val="99"/>
    <w:semiHidden/>
    <w:rsid w:val="00E625E6"/>
  </w:style>
  <w:style w:type="paragraph" w:styleId="Footer">
    <w:name w:val="footer"/>
    <w:basedOn w:val="Normal"/>
    <w:link w:val="FooterChar"/>
    <w:uiPriority w:val="99"/>
    <w:semiHidden/>
    <w:unhideWhenUsed/>
    <w:rsid w:val="00B057A4"/>
    <w:pPr>
      <w:tabs>
        <w:tab w:val="center" w:pos="4680"/>
        <w:tab w:val="right" w:pos="9360"/>
      </w:tabs>
    </w:pPr>
  </w:style>
  <w:style w:type="character" w:customStyle="1" w:styleId="FooterChar">
    <w:name w:val="Footer Char"/>
    <w:basedOn w:val="DefaultParagraphFont"/>
    <w:link w:val="Footer"/>
    <w:uiPriority w:val="99"/>
    <w:semiHidden/>
    <w:rsid w:val="00E625E6"/>
  </w:style>
  <w:style w:type="paragraph" w:styleId="CommentText">
    <w:name w:val="annotation text"/>
    <w:basedOn w:val="Normal"/>
    <w:link w:val="CommentTextChar"/>
    <w:uiPriority w:val="99"/>
    <w:unhideWhenUsed/>
    <w:rsid w:val="00E625E6"/>
    <w:rPr>
      <w:sz w:val="20"/>
      <w:szCs w:val="20"/>
    </w:rPr>
  </w:style>
  <w:style w:type="character" w:customStyle="1" w:styleId="CommentTextChar">
    <w:name w:val="Comment Text Char"/>
    <w:basedOn w:val="DefaultParagraphFont"/>
    <w:link w:val="CommentText"/>
    <w:uiPriority w:val="99"/>
    <w:rsid w:val="00E625E6"/>
    <w:rPr>
      <w:sz w:val="20"/>
      <w:szCs w:val="20"/>
    </w:rPr>
  </w:style>
  <w:style w:type="character" w:styleId="CommentReference">
    <w:name w:val="annotation reference"/>
    <w:basedOn w:val="DefaultParagraphFont"/>
    <w:uiPriority w:val="99"/>
    <w:semiHidden/>
    <w:unhideWhenUsed/>
    <w:rsid w:val="00E625E6"/>
    <w:rPr>
      <w:sz w:val="16"/>
      <w:szCs w:val="16"/>
    </w:rPr>
  </w:style>
  <w:style w:type="paragraph" w:styleId="Revision">
    <w:name w:val="Revision"/>
    <w:hidden/>
    <w:uiPriority w:val="99"/>
    <w:semiHidden/>
    <w:rsid w:val="000A1301"/>
  </w:style>
  <w:style w:type="paragraph" w:styleId="CommentSubject">
    <w:name w:val="annotation subject"/>
    <w:basedOn w:val="CommentText"/>
    <w:next w:val="CommentText"/>
    <w:link w:val="CommentSubjectChar"/>
    <w:uiPriority w:val="99"/>
    <w:semiHidden/>
    <w:unhideWhenUsed/>
    <w:rsid w:val="002E4AAF"/>
    <w:rPr>
      <w:b/>
      <w:bCs/>
    </w:rPr>
  </w:style>
  <w:style w:type="character" w:customStyle="1" w:styleId="CommentSubjectChar">
    <w:name w:val="Comment Subject Char"/>
    <w:basedOn w:val="CommentTextChar"/>
    <w:link w:val="CommentSubject"/>
    <w:uiPriority w:val="99"/>
    <w:semiHidden/>
    <w:rsid w:val="002E4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anna.zawadzka@sight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3040</Words>
  <Characters>17331</Characters>
  <Application>Microsoft Office Word</Application>
  <DocSecurity>0</DocSecurity>
  <Lines>144</Lines>
  <Paragraphs>40</Paragraphs>
  <ScaleCrop>false</ScaleCrop>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Joanna Zawadzka</cp:lastModifiedBy>
  <cp:revision>4</cp:revision>
  <dcterms:created xsi:type="dcterms:W3CDTF">2026-02-25T15:48:00Z</dcterms:created>
  <dcterms:modified xsi:type="dcterms:W3CDTF">2026-02-27T15:07:00Z</dcterms:modified>
</cp:coreProperties>
</file>